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6012" w14:textId="5CDE0FD3" w:rsidR="008C05E1" w:rsidRDefault="008C05E1" w:rsidP="00FB1107">
      <w:pPr>
        <w:spacing w:before="120" w:after="120"/>
        <w:jc w:val="both"/>
        <w:rPr>
          <w:rFonts w:asciiTheme="minorHAnsi" w:hAnsiTheme="minorHAnsi" w:cstheme="minorHAnsi"/>
          <w:b/>
          <w:sz w:val="32"/>
          <w:szCs w:val="32"/>
          <w:lang w:val="fr-FR"/>
        </w:rPr>
      </w:pPr>
      <w:r w:rsidRPr="003740AB">
        <w:rPr>
          <w:rFonts w:cstheme="minorHAnsi"/>
          <w:b/>
          <w:noProof/>
          <w:sz w:val="24"/>
          <w:szCs w:val="24"/>
          <w:lang w:val="fr-FR" w:eastAsia="fr-FR"/>
        </w:rPr>
        <w:drawing>
          <wp:anchor distT="0" distB="0" distL="114300" distR="114300" simplePos="0" relativeHeight="251659264" behindDoc="0" locked="0" layoutInCell="1" allowOverlap="1" wp14:anchorId="755CD7FA" wp14:editId="0B82BA2B">
            <wp:simplePos x="0" y="0"/>
            <wp:positionH relativeFrom="column">
              <wp:posOffset>1948180</wp:posOffset>
            </wp:positionH>
            <wp:positionV relativeFrom="paragraph">
              <wp:posOffset>558</wp:posOffset>
            </wp:positionV>
            <wp:extent cx="1924050" cy="946227"/>
            <wp:effectExtent l="0" t="0" r="0" b="6350"/>
            <wp:wrapSquare wrapText="bothSides"/>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6539" cy="947451"/>
                    </a:xfrm>
                    <a:prstGeom prst="rect">
                      <a:avLst/>
                    </a:prstGeom>
                    <a:noFill/>
                  </pic:spPr>
                </pic:pic>
              </a:graphicData>
            </a:graphic>
            <wp14:sizeRelH relativeFrom="margin">
              <wp14:pctWidth>0</wp14:pctWidth>
            </wp14:sizeRelH>
            <wp14:sizeRelV relativeFrom="margin">
              <wp14:pctHeight>0</wp14:pctHeight>
            </wp14:sizeRelV>
          </wp:anchor>
        </w:drawing>
      </w:r>
    </w:p>
    <w:p w14:paraId="1FBFE34B" w14:textId="77777777" w:rsidR="008C05E1" w:rsidRDefault="008C05E1" w:rsidP="00FB1107">
      <w:pPr>
        <w:spacing w:before="120" w:after="120"/>
        <w:jc w:val="both"/>
        <w:rPr>
          <w:rFonts w:asciiTheme="minorHAnsi" w:hAnsiTheme="minorHAnsi" w:cstheme="minorHAnsi"/>
          <w:b/>
          <w:sz w:val="32"/>
          <w:szCs w:val="32"/>
          <w:lang w:val="fr-FR"/>
        </w:rPr>
      </w:pPr>
    </w:p>
    <w:p w14:paraId="1CF9DEE8" w14:textId="77777777" w:rsidR="008C05E1" w:rsidRDefault="008C05E1" w:rsidP="00FB1107">
      <w:pPr>
        <w:spacing w:before="120" w:after="120"/>
        <w:jc w:val="both"/>
        <w:rPr>
          <w:rFonts w:asciiTheme="minorHAnsi" w:hAnsiTheme="minorHAnsi" w:cstheme="minorHAnsi"/>
          <w:b/>
          <w:sz w:val="32"/>
          <w:szCs w:val="32"/>
          <w:lang w:val="fr-FR"/>
        </w:rPr>
      </w:pPr>
    </w:p>
    <w:p w14:paraId="52427335" w14:textId="0A066984" w:rsidR="000C3A9F" w:rsidRPr="00B975C5" w:rsidRDefault="00B975C5" w:rsidP="00B975C5">
      <w:pPr>
        <w:pBdr>
          <w:bottom w:val="single" w:sz="4" w:space="1" w:color="auto"/>
        </w:pBdr>
        <w:spacing w:before="120" w:after="120"/>
        <w:jc w:val="both"/>
        <w:rPr>
          <w:rFonts w:asciiTheme="minorHAnsi" w:hAnsiTheme="minorHAnsi" w:cstheme="minorHAnsi"/>
          <w:i/>
          <w:sz w:val="28"/>
          <w:szCs w:val="28"/>
          <w:lang w:val="fr-FR"/>
        </w:rPr>
      </w:pPr>
      <w:r w:rsidRPr="000C3A9F">
        <w:rPr>
          <w:rFonts w:asciiTheme="minorHAnsi" w:hAnsiTheme="minorHAnsi" w:cstheme="minorHAnsi"/>
          <w:b/>
          <w:sz w:val="28"/>
          <w:szCs w:val="28"/>
          <w:lang w:val="fr-FR"/>
        </w:rPr>
        <w:t>Rapport annuel 2022</w:t>
      </w:r>
      <w:r>
        <w:rPr>
          <w:rFonts w:asciiTheme="minorHAnsi" w:hAnsiTheme="minorHAnsi" w:cstheme="minorHAnsi"/>
          <w:b/>
          <w:sz w:val="28"/>
          <w:szCs w:val="28"/>
          <w:lang w:val="fr-FR"/>
        </w:rPr>
        <w:t xml:space="preserve"> de </w:t>
      </w:r>
      <w:r w:rsidR="000C3A9F" w:rsidRPr="000C3A9F">
        <w:rPr>
          <w:rFonts w:asciiTheme="minorHAnsi" w:hAnsiTheme="minorHAnsi" w:cstheme="minorHAnsi"/>
          <w:b/>
          <w:sz w:val="32"/>
          <w:szCs w:val="32"/>
          <w:lang w:val="fr-FR"/>
        </w:rPr>
        <w:t>Prolinnova-Mali</w:t>
      </w:r>
    </w:p>
    <w:p w14:paraId="7A9F8B35" w14:textId="77777777" w:rsidR="009E6958" w:rsidRPr="000C3A9F" w:rsidRDefault="009E6958" w:rsidP="00FB1107">
      <w:pPr>
        <w:spacing w:before="120" w:after="120"/>
        <w:jc w:val="both"/>
        <w:rPr>
          <w:rFonts w:asciiTheme="minorHAnsi" w:hAnsiTheme="minorHAnsi" w:cstheme="minorHAnsi"/>
          <w:lang w:val="fr-FR"/>
        </w:rPr>
      </w:pPr>
    </w:p>
    <w:p w14:paraId="55AC57F4" w14:textId="77777777" w:rsidR="009E6958" w:rsidRPr="000C3A9F" w:rsidRDefault="009E6958" w:rsidP="00FB1107">
      <w:pPr>
        <w:pStyle w:val="Paragraphedeliste"/>
        <w:numPr>
          <w:ilvl w:val="0"/>
          <w:numId w:val="3"/>
        </w:numPr>
        <w:spacing w:before="120" w:after="120"/>
        <w:jc w:val="both"/>
        <w:rPr>
          <w:rFonts w:asciiTheme="minorHAnsi" w:hAnsiTheme="minorHAnsi" w:cstheme="minorHAnsi"/>
          <w:i/>
          <w:sz w:val="24"/>
          <w:szCs w:val="24"/>
          <w:lang w:val="fr-FR"/>
        </w:rPr>
      </w:pPr>
      <w:r w:rsidRPr="000C3A9F">
        <w:rPr>
          <w:rFonts w:asciiTheme="minorHAnsi" w:hAnsiTheme="minorHAnsi" w:cstheme="minorHAnsi"/>
          <w:b/>
          <w:sz w:val="24"/>
          <w:szCs w:val="24"/>
          <w:lang w:val="fr-FR"/>
        </w:rPr>
        <w:t xml:space="preserve">Introduction </w:t>
      </w:r>
    </w:p>
    <w:p w14:paraId="4FB71477" w14:textId="77777777" w:rsidR="000C3A9F" w:rsidRPr="002D5050" w:rsidRDefault="000C3A9F" w:rsidP="00FB1107">
      <w:pPr>
        <w:tabs>
          <w:tab w:val="num" w:pos="720"/>
        </w:tabs>
        <w:spacing w:before="120" w:after="120"/>
        <w:jc w:val="both"/>
        <w:rPr>
          <w:rFonts w:asciiTheme="minorHAnsi" w:hAnsiTheme="minorHAnsi" w:cstheme="minorHAnsi"/>
          <w:lang w:val="fr-FR"/>
        </w:rPr>
      </w:pPr>
      <w:r w:rsidRPr="002D5050">
        <w:rPr>
          <w:rFonts w:asciiTheme="minorHAnsi" w:hAnsiTheme="minorHAnsi" w:cstheme="minorHAnsi"/>
          <w:lang w:val="fr-FR"/>
        </w:rPr>
        <w:t xml:space="preserve">La plateforme pays </w:t>
      </w:r>
      <w:r w:rsidR="002D5050" w:rsidRPr="002D5050">
        <w:rPr>
          <w:rFonts w:asciiTheme="minorHAnsi" w:hAnsiTheme="minorHAnsi" w:cstheme="minorHAnsi"/>
          <w:lang w:val="fr-FR"/>
        </w:rPr>
        <w:t xml:space="preserve">(PP) </w:t>
      </w:r>
      <w:r w:rsidRPr="002D5050">
        <w:rPr>
          <w:rFonts w:asciiTheme="minorHAnsi" w:hAnsiTheme="minorHAnsi" w:cstheme="minorHAnsi"/>
          <w:lang w:val="fr-FR"/>
        </w:rPr>
        <w:t>Prolinnova-Mali a travaillé en 2022 principalement dans le cadre des projets PROFEIS (</w:t>
      </w:r>
      <w:r w:rsidRPr="002D5050">
        <w:rPr>
          <w:rFonts w:asciiTheme="minorHAnsi" w:hAnsiTheme="minorHAnsi" w:cstheme="minorHAnsi"/>
        </w:rPr>
        <w:t xml:space="preserve">Promouvoir l’expérimentation et l’innovation paysannes pour améliorer la sécurité alimentaire et la conservation des ressources au Sahel) </w:t>
      </w:r>
      <w:r w:rsidRPr="002D5050">
        <w:rPr>
          <w:rFonts w:asciiTheme="minorHAnsi" w:hAnsiTheme="minorHAnsi" w:cstheme="minorHAnsi"/>
          <w:lang w:val="fr-FR"/>
        </w:rPr>
        <w:t>et FaRENe (</w:t>
      </w:r>
      <w:r w:rsidRPr="002D5050">
        <w:rPr>
          <w:rFonts w:asciiTheme="minorHAnsi" w:hAnsiTheme="minorHAnsi" w:cstheme="minorHAnsi"/>
        </w:rPr>
        <w:t>Projet Soutenir et renforcer les réseaux de recherche des producteurs et productrices pour améliorer leur résilience face au changement climatique au Burkina Faso et au Mali).</w:t>
      </w:r>
      <w:r w:rsidRPr="002D5050">
        <w:rPr>
          <w:rFonts w:asciiTheme="minorHAnsi" w:hAnsiTheme="minorHAnsi" w:cstheme="minorHAnsi"/>
          <w:lang w:val="fr-FR"/>
        </w:rPr>
        <w:t xml:space="preserve"> </w:t>
      </w:r>
    </w:p>
    <w:p w14:paraId="3D98F77E" w14:textId="36234A8D" w:rsidR="000C3A9F" w:rsidRPr="002D5050" w:rsidRDefault="00025C6E" w:rsidP="00FB1107">
      <w:pPr>
        <w:tabs>
          <w:tab w:val="num" w:pos="720"/>
        </w:tabs>
        <w:spacing w:before="120" w:after="120"/>
        <w:jc w:val="both"/>
        <w:rPr>
          <w:rFonts w:asciiTheme="minorHAnsi" w:hAnsiTheme="minorHAnsi" w:cstheme="minorHAnsi"/>
          <w:lang w:val="fr-FR"/>
        </w:rPr>
      </w:pPr>
      <w:r w:rsidRPr="002D5050">
        <w:rPr>
          <w:rFonts w:asciiTheme="minorHAnsi" w:hAnsiTheme="minorHAnsi" w:cstheme="minorHAnsi"/>
          <w:lang w:val="fr-FR"/>
        </w:rPr>
        <w:t xml:space="preserve">Le </w:t>
      </w:r>
      <w:r w:rsidR="009E6958" w:rsidRPr="002D5050">
        <w:rPr>
          <w:rFonts w:asciiTheme="minorHAnsi" w:hAnsiTheme="minorHAnsi" w:cstheme="minorHAnsi"/>
          <w:lang w:val="fr-FR"/>
        </w:rPr>
        <w:t xml:space="preserve">réseau </w:t>
      </w:r>
      <w:r w:rsidRPr="002D5050">
        <w:rPr>
          <w:rFonts w:asciiTheme="minorHAnsi" w:hAnsiTheme="minorHAnsi" w:cstheme="minorHAnsi"/>
          <w:lang w:val="fr-FR"/>
        </w:rPr>
        <w:t xml:space="preserve">d’intervention </w:t>
      </w:r>
      <w:r w:rsidR="009E6958" w:rsidRPr="002D5050">
        <w:rPr>
          <w:rFonts w:asciiTheme="minorHAnsi" w:hAnsiTheme="minorHAnsi" w:cstheme="minorHAnsi"/>
          <w:lang w:val="fr-FR"/>
        </w:rPr>
        <w:t>mis en place au Mali est composé de</w:t>
      </w:r>
      <w:r w:rsidR="005F32F9" w:rsidRPr="002D5050">
        <w:rPr>
          <w:rFonts w:asciiTheme="minorHAnsi" w:hAnsiTheme="minorHAnsi" w:cstheme="minorHAnsi"/>
          <w:lang w:val="fr-FR"/>
        </w:rPr>
        <w:t>s</w:t>
      </w:r>
      <w:r w:rsidR="009E6958" w:rsidRPr="002D5050">
        <w:rPr>
          <w:rFonts w:asciiTheme="minorHAnsi" w:hAnsiTheme="minorHAnsi" w:cstheme="minorHAnsi"/>
          <w:lang w:val="fr-FR"/>
        </w:rPr>
        <w:t xml:space="preserve"> paysans innovateur</w:t>
      </w:r>
      <w:r w:rsidR="005F32F9" w:rsidRPr="002D5050">
        <w:rPr>
          <w:rFonts w:asciiTheme="minorHAnsi" w:hAnsiTheme="minorHAnsi" w:cstheme="minorHAnsi"/>
          <w:lang w:val="fr-FR"/>
        </w:rPr>
        <w:t>s</w:t>
      </w:r>
      <w:r w:rsidR="009E6958" w:rsidRPr="002D5050">
        <w:rPr>
          <w:rFonts w:asciiTheme="minorHAnsi" w:hAnsiTheme="minorHAnsi" w:cstheme="minorHAnsi"/>
          <w:lang w:val="fr-FR"/>
        </w:rPr>
        <w:t>, de</w:t>
      </w:r>
      <w:r w:rsidR="005F32F9" w:rsidRPr="002D5050">
        <w:rPr>
          <w:rFonts w:asciiTheme="minorHAnsi" w:hAnsiTheme="minorHAnsi" w:cstheme="minorHAnsi"/>
          <w:lang w:val="fr-FR"/>
        </w:rPr>
        <w:t>s</w:t>
      </w:r>
      <w:r w:rsidR="009E6958" w:rsidRPr="002D5050">
        <w:rPr>
          <w:rFonts w:asciiTheme="minorHAnsi" w:hAnsiTheme="minorHAnsi" w:cstheme="minorHAnsi"/>
          <w:lang w:val="fr-FR"/>
        </w:rPr>
        <w:t xml:space="preserve"> chercheurs et de</w:t>
      </w:r>
      <w:r w:rsidR="005F32F9" w:rsidRPr="002D5050">
        <w:rPr>
          <w:rFonts w:asciiTheme="minorHAnsi" w:hAnsiTheme="minorHAnsi" w:cstheme="minorHAnsi"/>
          <w:lang w:val="fr-FR"/>
        </w:rPr>
        <w:t>s</w:t>
      </w:r>
      <w:r w:rsidR="009E6958" w:rsidRPr="002D5050">
        <w:rPr>
          <w:rFonts w:asciiTheme="minorHAnsi" w:hAnsiTheme="minorHAnsi" w:cstheme="minorHAnsi"/>
          <w:lang w:val="fr-FR"/>
        </w:rPr>
        <w:t xml:space="preserve"> conseillers agricoles.</w:t>
      </w:r>
      <w:r w:rsidR="000C3A9F" w:rsidRPr="002D5050">
        <w:rPr>
          <w:rFonts w:asciiTheme="minorHAnsi" w:hAnsiTheme="minorHAnsi" w:cstheme="minorHAnsi"/>
          <w:lang w:val="fr-FR"/>
        </w:rPr>
        <w:t xml:space="preserve"> </w:t>
      </w:r>
      <w:r w:rsidR="009E6958" w:rsidRPr="002D5050">
        <w:rPr>
          <w:rFonts w:asciiTheme="minorHAnsi" w:hAnsiTheme="minorHAnsi" w:cstheme="minorHAnsi"/>
          <w:lang w:val="fr-FR"/>
        </w:rPr>
        <w:t xml:space="preserve">La campagne agricole </w:t>
      </w:r>
      <w:r w:rsidR="005F32F9" w:rsidRPr="002D5050">
        <w:rPr>
          <w:rFonts w:asciiTheme="minorHAnsi" w:hAnsiTheme="minorHAnsi" w:cstheme="minorHAnsi"/>
          <w:lang w:val="fr-FR"/>
        </w:rPr>
        <w:t>2022-2023</w:t>
      </w:r>
      <w:r w:rsidR="009E6958" w:rsidRPr="002D5050">
        <w:rPr>
          <w:rFonts w:asciiTheme="minorHAnsi" w:hAnsiTheme="minorHAnsi" w:cstheme="minorHAnsi"/>
          <w:lang w:val="fr-FR"/>
        </w:rPr>
        <w:t xml:space="preserve"> a été marquée par des pluies abondantes et</w:t>
      </w:r>
      <w:r w:rsidR="00B975C5">
        <w:rPr>
          <w:rFonts w:asciiTheme="minorHAnsi" w:hAnsiTheme="minorHAnsi" w:cstheme="minorHAnsi"/>
          <w:lang w:val="fr-FR"/>
        </w:rPr>
        <w:t xml:space="preserve"> </w:t>
      </w:r>
      <w:r w:rsidR="009E6958" w:rsidRPr="002D5050">
        <w:rPr>
          <w:rFonts w:asciiTheme="minorHAnsi" w:hAnsiTheme="minorHAnsi" w:cstheme="minorHAnsi"/>
          <w:lang w:val="fr-FR"/>
        </w:rPr>
        <w:t>régulières à partir avec des crues exceptionnelles par endroit. Les données collecté</w:t>
      </w:r>
      <w:r w:rsidR="00B975C5">
        <w:rPr>
          <w:rFonts w:asciiTheme="minorHAnsi" w:hAnsiTheme="minorHAnsi" w:cstheme="minorHAnsi"/>
          <w:lang w:val="fr-FR"/>
        </w:rPr>
        <w:t>e</w:t>
      </w:r>
      <w:r w:rsidR="009E6958" w:rsidRPr="002D5050">
        <w:rPr>
          <w:rFonts w:asciiTheme="minorHAnsi" w:hAnsiTheme="minorHAnsi" w:cstheme="minorHAnsi"/>
          <w:lang w:val="fr-FR"/>
        </w:rPr>
        <w:t>s ont été rec</w:t>
      </w:r>
      <w:r w:rsidR="00B975C5">
        <w:rPr>
          <w:rFonts w:asciiTheme="minorHAnsi" w:hAnsiTheme="minorHAnsi" w:cstheme="minorHAnsi"/>
          <w:lang w:val="fr-FR"/>
        </w:rPr>
        <w:t>u</w:t>
      </w:r>
      <w:r w:rsidR="009E6958" w:rsidRPr="002D5050">
        <w:rPr>
          <w:rFonts w:asciiTheme="minorHAnsi" w:hAnsiTheme="minorHAnsi" w:cstheme="minorHAnsi"/>
          <w:lang w:val="fr-FR"/>
        </w:rPr>
        <w:t>eilli</w:t>
      </w:r>
      <w:r w:rsidR="00B975C5">
        <w:rPr>
          <w:rFonts w:asciiTheme="minorHAnsi" w:hAnsiTheme="minorHAnsi" w:cstheme="minorHAnsi"/>
          <w:lang w:val="fr-FR"/>
        </w:rPr>
        <w:t xml:space="preserve">es </w:t>
      </w:r>
      <w:r w:rsidR="009E6958" w:rsidRPr="002D5050">
        <w:rPr>
          <w:rFonts w:asciiTheme="minorHAnsi" w:hAnsiTheme="minorHAnsi" w:cstheme="minorHAnsi"/>
          <w:lang w:val="fr-FR"/>
        </w:rPr>
        <w:t xml:space="preserve">auprès des paysans innovateurs et leur communauté, des étudiants finalistes </w:t>
      </w:r>
      <w:r w:rsidR="009E6958" w:rsidRPr="006A305B">
        <w:rPr>
          <w:rFonts w:asciiTheme="minorHAnsi" w:hAnsiTheme="minorHAnsi" w:cstheme="minorHAnsi"/>
          <w:lang w:val="fr-FR"/>
        </w:rPr>
        <w:t xml:space="preserve">de l’IPR/IFRA </w:t>
      </w:r>
      <w:r w:rsidR="009E6958" w:rsidRPr="002D5050">
        <w:rPr>
          <w:rFonts w:asciiTheme="minorHAnsi" w:hAnsiTheme="minorHAnsi" w:cstheme="minorHAnsi"/>
          <w:lang w:val="fr-FR"/>
        </w:rPr>
        <w:t>de Katibougou</w:t>
      </w:r>
      <w:r w:rsidR="000C3A9F" w:rsidRPr="002D5050">
        <w:rPr>
          <w:rFonts w:asciiTheme="minorHAnsi" w:hAnsiTheme="minorHAnsi" w:cstheme="minorHAnsi"/>
          <w:lang w:val="fr-FR"/>
        </w:rPr>
        <w:t>,</w:t>
      </w:r>
      <w:r w:rsidR="009E6958" w:rsidRPr="002D5050">
        <w:rPr>
          <w:rFonts w:asciiTheme="minorHAnsi" w:hAnsiTheme="minorHAnsi" w:cstheme="minorHAnsi"/>
          <w:lang w:val="fr-FR"/>
        </w:rPr>
        <w:t xml:space="preserve"> </w:t>
      </w:r>
      <w:r w:rsidR="005F32F9" w:rsidRPr="002D5050">
        <w:rPr>
          <w:rFonts w:asciiTheme="minorHAnsi" w:hAnsiTheme="minorHAnsi" w:cstheme="minorHAnsi"/>
          <w:lang w:val="fr-FR"/>
        </w:rPr>
        <w:t>les animateurs du projet des régions de Dioïla, Ségou et Mopti ainsi que les agents de service d’agriculture de Cinzana-Gare</w:t>
      </w:r>
      <w:r w:rsidR="00672CB8" w:rsidRPr="002D5050">
        <w:rPr>
          <w:rFonts w:asciiTheme="minorHAnsi" w:hAnsiTheme="minorHAnsi" w:cstheme="minorHAnsi"/>
          <w:lang w:val="fr-FR"/>
        </w:rPr>
        <w:t xml:space="preserve"> et Kônôbougou.</w:t>
      </w:r>
      <w:r w:rsidR="000C3A9F" w:rsidRPr="002D5050">
        <w:rPr>
          <w:rFonts w:asciiTheme="minorHAnsi" w:hAnsiTheme="minorHAnsi" w:cstheme="minorHAnsi"/>
          <w:lang w:val="fr-FR"/>
        </w:rPr>
        <w:t xml:space="preserve"> </w:t>
      </w:r>
    </w:p>
    <w:p w14:paraId="305B6395" w14:textId="77777777" w:rsidR="00025C6E" w:rsidRDefault="00025C6E" w:rsidP="00FB1107">
      <w:pPr>
        <w:tabs>
          <w:tab w:val="num" w:pos="720"/>
        </w:tabs>
        <w:spacing w:before="120" w:after="120"/>
        <w:jc w:val="both"/>
        <w:rPr>
          <w:rFonts w:asciiTheme="minorHAnsi" w:hAnsiTheme="minorHAnsi" w:cstheme="minorHAnsi"/>
          <w:lang w:val="fr-FR"/>
        </w:rPr>
      </w:pPr>
    </w:p>
    <w:p w14:paraId="3D08178E" w14:textId="77777777" w:rsidR="00025C6E" w:rsidRDefault="00025C6E" w:rsidP="00FB1107">
      <w:pPr>
        <w:tabs>
          <w:tab w:val="num" w:pos="720"/>
        </w:tabs>
        <w:spacing w:before="120" w:after="120"/>
        <w:jc w:val="both"/>
        <w:rPr>
          <w:rFonts w:asciiTheme="minorHAnsi" w:hAnsiTheme="minorHAnsi" w:cstheme="minorHAnsi"/>
          <w:b/>
          <w:sz w:val="24"/>
          <w:szCs w:val="24"/>
          <w:lang w:val="fr-FR"/>
        </w:rPr>
      </w:pPr>
      <w:r>
        <w:rPr>
          <w:rFonts w:asciiTheme="minorHAnsi" w:hAnsiTheme="minorHAnsi" w:cstheme="minorHAnsi"/>
          <w:b/>
          <w:sz w:val="24"/>
          <w:szCs w:val="24"/>
          <w:lang w:val="fr-FR"/>
        </w:rPr>
        <w:t xml:space="preserve">2.0. </w:t>
      </w:r>
      <w:r w:rsidRPr="000C3A9F">
        <w:rPr>
          <w:rFonts w:asciiTheme="minorHAnsi" w:hAnsiTheme="minorHAnsi" w:cstheme="minorHAnsi"/>
          <w:b/>
          <w:sz w:val="24"/>
          <w:szCs w:val="24"/>
          <w:lang w:val="fr-FR"/>
        </w:rPr>
        <w:t>Réalisations, défis et perspectives</w:t>
      </w:r>
    </w:p>
    <w:p w14:paraId="7A7C86E9" w14:textId="77777777" w:rsidR="00025C6E" w:rsidRDefault="00025C6E" w:rsidP="00FB1107">
      <w:pPr>
        <w:tabs>
          <w:tab w:val="num" w:pos="720"/>
        </w:tabs>
        <w:spacing w:before="120" w:after="120"/>
        <w:jc w:val="both"/>
        <w:rPr>
          <w:rFonts w:asciiTheme="minorHAnsi" w:hAnsiTheme="minorHAnsi" w:cstheme="minorHAnsi"/>
          <w:b/>
          <w:sz w:val="24"/>
          <w:szCs w:val="24"/>
          <w:lang w:val="fr-FR"/>
        </w:rPr>
      </w:pPr>
      <w:r>
        <w:rPr>
          <w:rFonts w:asciiTheme="minorHAnsi" w:hAnsiTheme="minorHAnsi" w:cstheme="minorHAnsi"/>
          <w:b/>
          <w:sz w:val="24"/>
          <w:szCs w:val="24"/>
          <w:lang w:val="fr-FR"/>
        </w:rPr>
        <w:t>2.1. Activités et résultats dans le cadre de PROFEIS</w:t>
      </w:r>
    </w:p>
    <w:p w14:paraId="1650A12B" w14:textId="77777777" w:rsidR="00025C6E" w:rsidRPr="006635ED" w:rsidRDefault="00025C6E" w:rsidP="00FB1107">
      <w:pPr>
        <w:tabs>
          <w:tab w:val="num" w:pos="720"/>
        </w:tabs>
        <w:spacing w:before="120" w:after="120"/>
        <w:jc w:val="both"/>
        <w:rPr>
          <w:rFonts w:asciiTheme="minorHAnsi" w:hAnsiTheme="minorHAnsi" w:cstheme="minorHAnsi"/>
          <w:b/>
          <w:bCs/>
          <w:i/>
          <w:iCs/>
          <w:lang w:val="fr-FR"/>
        </w:rPr>
      </w:pPr>
      <w:r w:rsidRPr="006635ED">
        <w:rPr>
          <w:rFonts w:asciiTheme="minorHAnsi" w:hAnsiTheme="minorHAnsi" w:cstheme="minorHAnsi"/>
          <w:b/>
          <w:bCs/>
          <w:i/>
          <w:iCs/>
          <w:lang w:val="fr-FR"/>
        </w:rPr>
        <w:t>Promotion de l’innovation locale</w:t>
      </w:r>
    </w:p>
    <w:p w14:paraId="2E43A04D" w14:textId="77777777" w:rsidR="006635ED" w:rsidRDefault="00025C6E" w:rsidP="00FB1107">
      <w:pPr>
        <w:pStyle w:val="Corpsdetexte"/>
        <w:spacing w:line="276" w:lineRule="auto"/>
        <w:jc w:val="both"/>
        <w:rPr>
          <w:rFonts w:asciiTheme="minorHAnsi" w:hAnsiTheme="minorHAnsi" w:cstheme="minorHAnsi"/>
          <w:b w:val="0"/>
          <w:sz w:val="22"/>
          <w:szCs w:val="22"/>
        </w:rPr>
      </w:pPr>
      <w:r w:rsidRPr="000C3A9F">
        <w:rPr>
          <w:rFonts w:asciiTheme="minorHAnsi" w:hAnsiTheme="minorHAnsi" w:cstheme="minorHAnsi"/>
          <w:b w:val="0"/>
          <w:sz w:val="22"/>
          <w:szCs w:val="22"/>
        </w:rPr>
        <w:t xml:space="preserve">Les innovations </w:t>
      </w:r>
      <w:r w:rsidR="006635ED">
        <w:rPr>
          <w:rFonts w:asciiTheme="minorHAnsi" w:hAnsiTheme="minorHAnsi" w:cstheme="minorHAnsi"/>
          <w:b w:val="0"/>
          <w:sz w:val="22"/>
          <w:szCs w:val="22"/>
        </w:rPr>
        <w:t xml:space="preserve">locales qui ont fait office d’attention et de vulgarisation dans le cadre de PROFEIS sont : </w:t>
      </w:r>
    </w:p>
    <w:p w14:paraId="73696DDB" w14:textId="77777777" w:rsidR="006635ED"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 xml:space="preserve">La </w:t>
      </w:r>
      <w:r w:rsidR="00025C6E" w:rsidRPr="000C3A9F">
        <w:rPr>
          <w:rFonts w:asciiTheme="minorHAnsi" w:hAnsiTheme="minorHAnsi" w:cstheme="minorHAnsi"/>
          <w:b w:val="0"/>
          <w:sz w:val="22"/>
          <w:szCs w:val="22"/>
        </w:rPr>
        <w:t>couveuse en banco</w:t>
      </w:r>
    </w:p>
    <w:p w14:paraId="2EA85A21" w14:textId="77777777" w:rsidR="00025C6E" w:rsidRPr="000C3A9F"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L’</w:t>
      </w:r>
      <w:r w:rsidR="00025C6E" w:rsidRPr="000C3A9F">
        <w:rPr>
          <w:rFonts w:asciiTheme="minorHAnsi" w:hAnsiTheme="minorHAnsi" w:cstheme="minorHAnsi"/>
          <w:b w:val="0"/>
          <w:sz w:val="22"/>
          <w:szCs w:val="22"/>
        </w:rPr>
        <w:t>utilisation de la solution de potasse à base de cendre de tige de mil pour lutter contre la forte mortalité des pintadeaux</w:t>
      </w:r>
    </w:p>
    <w:p w14:paraId="0B96694D" w14:textId="77777777" w:rsidR="00025C6E" w:rsidRPr="000C3A9F"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L’</w:t>
      </w:r>
      <w:r w:rsidR="00025C6E" w:rsidRPr="000C3A9F">
        <w:rPr>
          <w:rFonts w:asciiTheme="minorHAnsi" w:hAnsiTheme="minorHAnsi" w:cstheme="minorHAnsi"/>
          <w:b w:val="0"/>
          <w:sz w:val="22"/>
          <w:szCs w:val="22"/>
        </w:rPr>
        <w:t xml:space="preserve">utilisation du fruit de </w:t>
      </w:r>
      <w:r w:rsidR="00025C6E" w:rsidRPr="000C3A9F">
        <w:rPr>
          <w:rFonts w:asciiTheme="minorHAnsi" w:hAnsiTheme="minorHAnsi" w:cstheme="minorHAnsi"/>
          <w:b w:val="0"/>
          <w:i/>
          <w:sz w:val="22"/>
          <w:szCs w:val="22"/>
        </w:rPr>
        <w:t>Solanum incanum</w:t>
      </w:r>
      <w:r w:rsidR="00025C6E" w:rsidRPr="000C3A9F">
        <w:rPr>
          <w:rFonts w:asciiTheme="minorHAnsi" w:hAnsiTheme="minorHAnsi" w:cstheme="minorHAnsi"/>
          <w:b w:val="0"/>
          <w:sz w:val="22"/>
          <w:szCs w:val="22"/>
        </w:rPr>
        <w:t xml:space="preserve"> « Bangôyô » pour lutter contre la mortalité de la volaille</w:t>
      </w:r>
    </w:p>
    <w:p w14:paraId="24526320" w14:textId="77777777" w:rsidR="006635ED"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L’</w:t>
      </w:r>
      <w:r w:rsidR="00025C6E" w:rsidRPr="000C3A9F">
        <w:rPr>
          <w:rFonts w:asciiTheme="minorHAnsi" w:hAnsiTheme="minorHAnsi" w:cstheme="minorHAnsi"/>
          <w:b w:val="0"/>
          <w:sz w:val="22"/>
          <w:szCs w:val="22"/>
        </w:rPr>
        <w:t xml:space="preserve">utilisation de la solution de </w:t>
      </w:r>
      <w:r w:rsidR="00025C6E" w:rsidRPr="000C3A9F">
        <w:rPr>
          <w:rFonts w:asciiTheme="minorHAnsi" w:hAnsiTheme="minorHAnsi" w:cstheme="minorHAnsi"/>
          <w:b w:val="0"/>
          <w:i/>
          <w:sz w:val="22"/>
          <w:szCs w:val="22"/>
        </w:rPr>
        <w:t>« Potokolonimbo »</w:t>
      </w:r>
      <w:r w:rsidR="00025C6E" w:rsidRPr="000C3A9F">
        <w:rPr>
          <w:rFonts w:asciiTheme="minorHAnsi" w:hAnsiTheme="minorHAnsi" w:cstheme="minorHAnsi"/>
          <w:b w:val="0"/>
          <w:sz w:val="22"/>
          <w:szCs w:val="22"/>
        </w:rPr>
        <w:t xml:space="preserve"> pour lutter contre les nuisibles de la tomate</w:t>
      </w:r>
    </w:p>
    <w:p w14:paraId="07B1864A" w14:textId="77777777" w:rsidR="00025C6E"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 xml:space="preserve">Le </w:t>
      </w:r>
      <w:r w:rsidR="00025C6E" w:rsidRPr="000C3A9F">
        <w:rPr>
          <w:rFonts w:asciiTheme="minorHAnsi" w:hAnsiTheme="minorHAnsi" w:cstheme="minorHAnsi"/>
          <w:b w:val="0"/>
          <w:sz w:val="22"/>
          <w:szCs w:val="22"/>
        </w:rPr>
        <w:t>Pot de « Gakou »</w:t>
      </w:r>
      <w:r>
        <w:rPr>
          <w:rFonts w:asciiTheme="minorHAnsi" w:hAnsiTheme="minorHAnsi" w:cstheme="minorHAnsi"/>
          <w:b w:val="0"/>
          <w:sz w:val="22"/>
          <w:szCs w:val="22"/>
        </w:rPr>
        <w:t>.</w:t>
      </w:r>
    </w:p>
    <w:p w14:paraId="4079792F" w14:textId="77777777" w:rsidR="006635ED" w:rsidRPr="000C3A9F"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L</w:t>
      </w:r>
      <w:r w:rsidRPr="006635ED">
        <w:rPr>
          <w:rFonts w:asciiTheme="minorHAnsi" w:hAnsiTheme="minorHAnsi" w:cstheme="minorHAnsi"/>
          <w:b w:val="0"/>
          <w:sz w:val="22"/>
          <w:szCs w:val="22"/>
        </w:rPr>
        <w:t>’utilisation du fruit de « N’goundjè » pour améliorer la productivité des céréales</w:t>
      </w:r>
      <w:r w:rsidR="00EB6357">
        <w:rPr>
          <w:rFonts w:asciiTheme="minorHAnsi" w:hAnsiTheme="minorHAnsi" w:cstheme="minorHAnsi"/>
          <w:b w:val="0"/>
          <w:sz w:val="22"/>
          <w:szCs w:val="22"/>
        </w:rPr>
        <w:t>.</w:t>
      </w:r>
    </w:p>
    <w:p w14:paraId="0F2AD1AD" w14:textId="77777777" w:rsidR="00025C6E" w:rsidRPr="006635ED" w:rsidRDefault="00025C6E" w:rsidP="00FB1107">
      <w:pPr>
        <w:tabs>
          <w:tab w:val="num" w:pos="720"/>
        </w:tabs>
        <w:spacing w:before="120" w:after="120"/>
        <w:jc w:val="both"/>
        <w:rPr>
          <w:rFonts w:asciiTheme="minorHAnsi" w:hAnsiTheme="minorHAnsi" w:cstheme="minorHAnsi"/>
          <w:b/>
          <w:bCs/>
          <w:i/>
          <w:iCs/>
          <w:lang w:val="fr-FR"/>
        </w:rPr>
      </w:pPr>
      <w:r w:rsidRPr="006635ED">
        <w:rPr>
          <w:rFonts w:asciiTheme="minorHAnsi" w:hAnsiTheme="minorHAnsi" w:cstheme="minorHAnsi"/>
          <w:b/>
          <w:bCs/>
          <w:i/>
          <w:iCs/>
          <w:lang w:val="fr-FR"/>
        </w:rPr>
        <w:t>Documentation</w:t>
      </w:r>
      <w:r w:rsidR="006635ED">
        <w:rPr>
          <w:rFonts w:asciiTheme="minorHAnsi" w:hAnsiTheme="minorHAnsi" w:cstheme="minorHAnsi"/>
          <w:b/>
          <w:bCs/>
          <w:i/>
          <w:iCs/>
          <w:lang w:val="fr-FR"/>
        </w:rPr>
        <w:t xml:space="preserve"> des innovations locales</w:t>
      </w:r>
    </w:p>
    <w:p w14:paraId="78BA85E7" w14:textId="77777777" w:rsidR="00025C6E" w:rsidRDefault="006635ED" w:rsidP="00FB1107">
      <w:pPr>
        <w:tabs>
          <w:tab w:val="num" w:pos="720"/>
        </w:tabs>
        <w:spacing w:before="120" w:after="120"/>
        <w:jc w:val="both"/>
        <w:rPr>
          <w:rFonts w:asciiTheme="minorHAnsi" w:hAnsiTheme="minorHAnsi" w:cstheme="minorHAnsi"/>
          <w:lang w:val="fr-FR"/>
        </w:rPr>
      </w:pPr>
      <w:r>
        <w:rPr>
          <w:rFonts w:asciiTheme="minorHAnsi" w:hAnsiTheme="minorHAnsi" w:cstheme="minorHAnsi"/>
          <w:lang w:val="fr-FR"/>
        </w:rPr>
        <w:t xml:space="preserve">Les innovations locales ont été identifiées et caractérisées et renseignées dans les rapports. Mais l’élaboration d’un </w:t>
      </w:r>
      <w:r w:rsidRPr="000C3A9F">
        <w:rPr>
          <w:rFonts w:asciiTheme="minorHAnsi" w:hAnsiTheme="minorHAnsi" w:cstheme="minorHAnsi"/>
        </w:rPr>
        <w:t>catalogue des innovations paysannes est en cours</w:t>
      </w:r>
      <w:r>
        <w:rPr>
          <w:rFonts w:asciiTheme="minorHAnsi" w:hAnsiTheme="minorHAnsi" w:cstheme="minorHAnsi"/>
        </w:rPr>
        <w:t>.</w:t>
      </w:r>
    </w:p>
    <w:p w14:paraId="46796690" w14:textId="77777777" w:rsidR="00B975C5" w:rsidRDefault="00B975C5" w:rsidP="00FB1107">
      <w:pPr>
        <w:tabs>
          <w:tab w:val="num" w:pos="720"/>
        </w:tabs>
        <w:spacing w:before="120" w:after="120"/>
        <w:jc w:val="both"/>
        <w:rPr>
          <w:rFonts w:asciiTheme="minorHAnsi" w:hAnsiTheme="minorHAnsi" w:cstheme="minorHAnsi"/>
          <w:b/>
          <w:bCs/>
          <w:i/>
          <w:iCs/>
          <w:lang w:val="fr-FR"/>
        </w:rPr>
      </w:pPr>
    </w:p>
    <w:p w14:paraId="26AFE7A1" w14:textId="02EFD98B" w:rsidR="00025C6E" w:rsidRPr="006635ED" w:rsidRDefault="00025C6E" w:rsidP="00FB1107">
      <w:pPr>
        <w:tabs>
          <w:tab w:val="num" w:pos="720"/>
        </w:tabs>
        <w:spacing w:before="120" w:after="120"/>
        <w:jc w:val="both"/>
        <w:rPr>
          <w:rFonts w:asciiTheme="minorHAnsi" w:hAnsiTheme="minorHAnsi" w:cstheme="minorHAnsi"/>
          <w:b/>
          <w:bCs/>
          <w:i/>
          <w:iCs/>
          <w:lang w:val="fr-FR"/>
        </w:rPr>
      </w:pPr>
      <w:r w:rsidRPr="006635ED">
        <w:rPr>
          <w:rFonts w:asciiTheme="minorHAnsi" w:hAnsiTheme="minorHAnsi" w:cstheme="minorHAnsi"/>
          <w:b/>
          <w:bCs/>
          <w:i/>
          <w:iCs/>
          <w:lang w:val="fr-FR"/>
        </w:rPr>
        <w:lastRenderedPageBreak/>
        <w:t>Renforcement de capacités</w:t>
      </w:r>
    </w:p>
    <w:p w14:paraId="4555D6F1" w14:textId="77777777" w:rsidR="006635ED" w:rsidRDefault="006635ED" w:rsidP="00FB1107">
      <w:pPr>
        <w:tabs>
          <w:tab w:val="num" w:pos="720"/>
        </w:tabs>
        <w:spacing w:before="120" w:after="120"/>
        <w:jc w:val="both"/>
        <w:rPr>
          <w:rFonts w:asciiTheme="minorHAnsi" w:hAnsiTheme="minorHAnsi" w:cstheme="minorHAnsi"/>
          <w:lang w:val="fr-FR"/>
        </w:rPr>
      </w:pPr>
      <w:r>
        <w:rPr>
          <w:rFonts w:asciiTheme="minorHAnsi" w:hAnsiTheme="minorHAnsi" w:cstheme="minorHAnsi"/>
          <w:lang w:val="fr-FR"/>
        </w:rPr>
        <w:t xml:space="preserve">Plusieurs acteurs et partenaires ont été formés sur l’approche de Prolinnova, notamment la documentation des innovations locales, la recherche menée par les paysans, etc… Ils ont été également exposés et sensibilisés sur les innovations locales identifiées et caractérisées dans la perspective de leur institutionnalisation. </w:t>
      </w:r>
    </w:p>
    <w:p w14:paraId="0923B206" w14:textId="77777777" w:rsidR="00025C6E" w:rsidRPr="006635ED" w:rsidRDefault="00025C6E" w:rsidP="00FB1107">
      <w:pPr>
        <w:tabs>
          <w:tab w:val="num" w:pos="720"/>
        </w:tabs>
        <w:spacing w:before="120" w:after="120"/>
        <w:jc w:val="both"/>
        <w:rPr>
          <w:rFonts w:asciiTheme="minorHAnsi" w:hAnsiTheme="minorHAnsi" w:cstheme="minorHAnsi"/>
          <w:b/>
          <w:bCs/>
          <w:i/>
          <w:iCs/>
          <w:lang w:val="fr-FR"/>
        </w:rPr>
      </w:pPr>
      <w:r w:rsidRPr="006635ED">
        <w:rPr>
          <w:rFonts w:asciiTheme="minorHAnsi" w:hAnsiTheme="minorHAnsi" w:cstheme="minorHAnsi"/>
          <w:b/>
          <w:bCs/>
          <w:i/>
          <w:iCs/>
          <w:lang w:val="fr-FR"/>
        </w:rPr>
        <w:t>Réseautage et dialogue politique et institutionnalisation</w:t>
      </w:r>
    </w:p>
    <w:p w14:paraId="397134D2" w14:textId="77777777" w:rsidR="00025C6E" w:rsidRDefault="00025C6E" w:rsidP="00FB1107">
      <w:pPr>
        <w:pStyle w:val="Corpsdetexte"/>
        <w:spacing w:line="276" w:lineRule="auto"/>
        <w:jc w:val="both"/>
        <w:rPr>
          <w:rFonts w:asciiTheme="minorHAnsi" w:hAnsiTheme="minorHAnsi" w:cstheme="minorHAnsi"/>
          <w:b w:val="0"/>
          <w:sz w:val="22"/>
          <w:szCs w:val="22"/>
        </w:rPr>
      </w:pPr>
      <w:r w:rsidRPr="000C3A9F">
        <w:rPr>
          <w:rFonts w:asciiTheme="minorHAnsi" w:hAnsiTheme="minorHAnsi" w:cstheme="minorHAnsi"/>
          <w:b w:val="0"/>
          <w:sz w:val="22"/>
          <w:szCs w:val="22"/>
        </w:rPr>
        <w:t>50% des élus locaux formés au niveau des collectivités territoriales ont intégré 5 innovations paysannes dans leurs Plans de Développement Social, Economique et Culturel (PDSEC)</w:t>
      </w:r>
      <w:r w:rsidR="006635ED">
        <w:rPr>
          <w:rFonts w:asciiTheme="minorHAnsi" w:hAnsiTheme="minorHAnsi" w:cstheme="minorHAnsi"/>
          <w:b w:val="0"/>
          <w:sz w:val="22"/>
          <w:szCs w:val="22"/>
        </w:rPr>
        <w:t>. Les innovations locales qui ont été intégrées sont :</w:t>
      </w:r>
    </w:p>
    <w:p w14:paraId="47042F4F" w14:textId="77777777" w:rsidR="006635ED"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 xml:space="preserve">La </w:t>
      </w:r>
      <w:r w:rsidRPr="000C3A9F">
        <w:rPr>
          <w:rFonts w:asciiTheme="minorHAnsi" w:hAnsiTheme="minorHAnsi" w:cstheme="minorHAnsi"/>
          <w:b w:val="0"/>
          <w:sz w:val="22"/>
          <w:szCs w:val="22"/>
        </w:rPr>
        <w:t>couveuse en banco</w:t>
      </w:r>
    </w:p>
    <w:p w14:paraId="0697CD6F" w14:textId="77777777" w:rsidR="006635ED" w:rsidRPr="000C3A9F"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L’</w:t>
      </w:r>
      <w:r w:rsidRPr="000C3A9F">
        <w:rPr>
          <w:rFonts w:asciiTheme="minorHAnsi" w:hAnsiTheme="minorHAnsi" w:cstheme="minorHAnsi"/>
          <w:b w:val="0"/>
          <w:sz w:val="22"/>
          <w:szCs w:val="22"/>
        </w:rPr>
        <w:t>utilisation de la solution de potasse à base de cendre de tige de mil pour lutter contre la forte mortalité des pintadeaux</w:t>
      </w:r>
    </w:p>
    <w:p w14:paraId="08B0C5BD" w14:textId="77777777" w:rsidR="006635ED" w:rsidRPr="000C3A9F"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L’</w:t>
      </w:r>
      <w:r w:rsidRPr="000C3A9F">
        <w:rPr>
          <w:rFonts w:asciiTheme="minorHAnsi" w:hAnsiTheme="minorHAnsi" w:cstheme="minorHAnsi"/>
          <w:b w:val="0"/>
          <w:sz w:val="22"/>
          <w:szCs w:val="22"/>
        </w:rPr>
        <w:t xml:space="preserve">utilisation du fruit de </w:t>
      </w:r>
      <w:r w:rsidRPr="00E435B1">
        <w:rPr>
          <w:rFonts w:asciiTheme="minorHAnsi" w:hAnsiTheme="minorHAnsi" w:cstheme="minorHAnsi"/>
          <w:b w:val="0"/>
          <w:sz w:val="22"/>
          <w:szCs w:val="22"/>
        </w:rPr>
        <w:t>Solanum incanum</w:t>
      </w:r>
      <w:r w:rsidRPr="000C3A9F">
        <w:rPr>
          <w:rFonts w:asciiTheme="minorHAnsi" w:hAnsiTheme="minorHAnsi" w:cstheme="minorHAnsi"/>
          <w:b w:val="0"/>
          <w:sz w:val="22"/>
          <w:szCs w:val="22"/>
        </w:rPr>
        <w:t xml:space="preserve"> « Bangôyô » pour lutter contre la mortalité de la volaille</w:t>
      </w:r>
    </w:p>
    <w:p w14:paraId="009E8FCC" w14:textId="77777777" w:rsidR="006635ED" w:rsidRDefault="006635ED" w:rsidP="00FB1107">
      <w:pPr>
        <w:pStyle w:val="Corpsdetexte"/>
        <w:numPr>
          <w:ilvl w:val="0"/>
          <w:numId w:val="4"/>
        </w:numPr>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L’</w:t>
      </w:r>
      <w:r w:rsidRPr="000C3A9F">
        <w:rPr>
          <w:rFonts w:asciiTheme="minorHAnsi" w:hAnsiTheme="minorHAnsi" w:cstheme="minorHAnsi"/>
          <w:b w:val="0"/>
          <w:sz w:val="22"/>
          <w:szCs w:val="22"/>
        </w:rPr>
        <w:t xml:space="preserve">utilisation de la solution de </w:t>
      </w:r>
      <w:r w:rsidRPr="00E435B1">
        <w:rPr>
          <w:rFonts w:asciiTheme="minorHAnsi" w:hAnsiTheme="minorHAnsi" w:cstheme="minorHAnsi"/>
          <w:b w:val="0"/>
          <w:sz w:val="22"/>
          <w:szCs w:val="22"/>
        </w:rPr>
        <w:t>« Potokolonimbo »</w:t>
      </w:r>
      <w:r w:rsidRPr="000C3A9F">
        <w:rPr>
          <w:rFonts w:asciiTheme="minorHAnsi" w:hAnsiTheme="minorHAnsi" w:cstheme="minorHAnsi"/>
          <w:b w:val="0"/>
          <w:sz w:val="22"/>
          <w:szCs w:val="22"/>
        </w:rPr>
        <w:t xml:space="preserve"> pour lutter contre les nuisibles de la tomate</w:t>
      </w:r>
    </w:p>
    <w:p w14:paraId="5DFF380F" w14:textId="77777777" w:rsidR="006635ED" w:rsidRDefault="006635ED" w:rsidP="00FB1107">
      <w:pPr>
        <w:pStyle w:val="Corpsdetexte"/>
        <w:numPr>
          <w:ilvl w:val="0"/>
          <w:numId w:val="4"/>
        </w:numPr>
        <w:spacing w:after="240" w:line="276" w:lineRule="auto"/>
        <w:jc w:val="both"/>
        <w:rPr>
          <w:rFonts w:asciiTheme="minorHAnsi" w:hAnsiTheme="minorHAnsi" w:cstheme="minorHAnsi"/>
          <w:b w:val="0"/>
          <w:sz w:val="22"/>
          <w:szCs w:val="22"/>
        </w:rPr>
      </w:pPr>
      <w:r>
        <w:rPr>
          <w:rFonts w:asciiTheme="minorHAnsi" w:hAnsiTheme="minorHAnsi" w:cstheme="minorHAnsi"/>
          <w:b w:val="0"/>
          <w:sz w:val="22"/>
          <w:szCs w:val="22"/>
        </w:rPr>
        <w:t xml:space="preserve">Le </w:t>
      </w:r>
      <w:r w:rsidRPr="000C3A9F">
        <w:rPr>
          <w:rFonts w:asciiTheme="minorHAnsi" w:hAnsiTheme="minorHAnsi" w:cstheme="minorHAnsi"/>
          <w:b w:val="0"/>
          <w:sz w:val="22"/>
          <w:szCs w:val="22"/>
        </w:rPr>
        <w:t>Pot de « Gakou »</w:t>
      </w:r>
      <w:r>
        <w:rPr>
          <w:rFonts w:asciiTheme="minorHAnsi" w:hAnsiTheme="minorHAnsi" w:cstheme="minorHAnsi"/>
          <w:b w:val="0"/>
          <w:sz w:val="22"/>
          <w:szCs w:val="22"/>
        </w:rPr>
        <w:t>.</w:t>
      </w:r>
    </w:p>
    <w:p w14:paraId="23168513" w14:textId="0F8E4572" w:rsidR="00025C6E" w:rsidRDefault="006635ED" w:rsidP="00FB1107">
      <w:pPr>
        <w:tabs>
          <w:tab w:val="num" w:pos="720"/>
        </w:tabs>
        <w:spacing w:before="120" w:after="120"/>
        <w:jc w:val="both"/>
        <w:rPr>
          <w:rFonts w:asciiTheme="minorHAnsi" w:hAnsiTheme="minorHAnsi" w:cstheme="minorHAnsi"/>
          <w:bCs/>
          <w:lang w:val="fr-FR"/>
        </w:rPr>
      </w:pPr>
      <w:r>
        <w:rPr>
          <w:rFonts w:asciiTheme="minorHAnsi" w:hAnsiTheme="minorHAnsi" w:cstheme="minorHAnsi"/>
          <w:bCs/>
          <w:lang w:val="fr-FR"/>
        </w:rPr>
        <w:t>Auss</w:t>
      </w:r>
      <w:r w:rsidR="00EB6357">
        <w:rPr>
          <w:rFonts w:asciiTheme="minorHAnsi" w:hAnsiTheme="minorHAnsi" w:cstheme="minorHAnsi"/>
          <w:bCs/>
          <w:lang w:val="fr-FR"/>
        </w:rPr>
        <w:t>i, i</w:t>
      </w:r>
      <w:r>
        <w:rPr>
          <w:rFonts w:asciiTheme="minorHAnsi" w:hAnsiTheme="minorHAnsi" w:cstheme="minorHAnsi"/>
          <w:bCs/>
          <w:lang w:val="fr-FR"/>
        </w:rPr>
        <w:t>l est rapporté que l</w:t>
      </w:r>
      <w:r w:rsidR="00025C6E" w:rsidRPr="000C3A9F">
        <w:rPr>
          <w:rFonts w:asciiTheme="minorHAnsi" w:hAnsiTheme="minorHAnsi" w:cstheme="minorHAnsi"/>
          <w:bCs/>
          <w:lang w:val="fr-FR"/>
        </w:rPr>
        <w:t>es agents de vulgarisation des services techniques et d’ONGs formés intègrent des innovations paysannes dans leurs activités</w:t>
      </w:r>
      <w:r>
        <w:rPr>
          <w:rFonts w:asciiTheme="minorHAnsi" w:hAnsiTheme="minorHAnsi" w:cstheme="minorHAnsi"/>
          <w:bCs/>
          <w:lang w:val="fr-FR"/>
        </w:rPr>
        <w:t xml:space="preserve"> quotidiennes. </w:t>
      </w:r>
      <w:r w:rsidR="00EB6357" w:rsidRPr="000C3A9F">
        <w:rPr>
          <w:rFonts w:asciiTheme="minorHAnsi" w:hAnsiTheme="minorHAnsi" w:cstheme="minorHAnsi"/>
          <w:bCs/>
          <w:lang w:val="fr-FR"/>
        </w:rPr>
        <w:t>Les agents de N’Gasènè, du Service d’agriculture de Sanando de l’Union Locale des Producteurs du Céréale</w:t>
      </w:r>
      <w:r w:rsidR="00EB6357">
        <w:rPr>
          <w:rFonts w:asciiTheme="minorHAnsi" w:hAnsiTheme="minorHAnsi" w:cstheme="minorHAnsi"/>
          <w:bCs/>
          <w:lang w:val="fr-FR"/>
        </w:rPr>
        <w:t xml:space="preserve"> (</w:t>
      </w:r>
      <w:r w:rsidR="00EB6357" w:rsidRPr="000C3A9F">
        <w:rPr>
          <w:rFonts w:asciiTheme="minorHAnsi" w:hAnsiTheme="minorHAnsi" w:cstheme="minorHAnsi"/>
          <w:bCs/>
          <w:lang w:val="fr-FR"/>
        </w:rPr>
        <w:t>ULPC</w:t>
      </w:r>
      <w:r w:rsidR="00EB6357">
        <w:rPr>
          <w:rFonts w:asciiTheme="minorHAnsi" w:hAnsiTheme="minorHAnsi" w:cstheme="minorHAnsi"/>
          <w:bCs/>
          <w:lang w:val="fr-FR"/>
        </w:rPr>
        <w:t>)</w:t>
      </w:r>
      <w:r w:rsidR="00EB6357" w:rsidRPr="000C3A9F">
        <w:rPr>
          <w:rFonts w:asciiTheme="minorHAnsi" w:hAnsiTheme="minorHAnsi" w:cstheme="minorHAnsi"/>
          <w:bCs/>
          <w:lang w:val="fr-FR"/>
        </w:rPr>
        <w:t xml:space="preserve"> de Dioïla, intègrent les innovations paysannes</w:t>
      </w:r>
      <w:r w:rsidR="00934077">
        <w:rPr>
          <w:rFonts w:asciiTheme="minorHAnsi" w:hAnsiTheme="minorHAnsi" w:cstheme="minorHAnsi"/>
          <w:bCs/>
          <w:lang w:val="fr-FR"/>
        </w:rPr>
        <w:t xml:space="preserve"> </w:t>
      </w:r>
      <w:r w:rsidR="00EB6357" w:rsidRPr="000C3A9F">
        <w:rPr>
          <w:rFonts w:asciiTheme="minorHAnsi" w:hAnsiTheme="minorHAnsi" w:cstheme="minorHAnsi"/>
          <w:bCs/>
          <w:lang w:val="fr-FR"/>
        </w:rPr>
        <w:t>(couveuse en banco, utilisation de la solution de potasse et utilisation de « Potokolonimbo ») dans leurs activités</w:t>
      </w:r>
      <w:r w:rsidR="00EB6357">
        <w:rPr>
          <w:rFonts w:asciiTheme="minorHAnsi" w:hAnsiTheme="minorHAnsi" w:cstheme="minorHAnsi"/>
          <w:bCs/>
          <w:lang w:val="fr-FR"/>
        </w:rPr>
        <w:t>.</w:t>
      </w:r>
      <w:r w:rsidR="00EB6357" w:rsidRPr="000C3A9F">
        <w:rPr>
          <w:rFonts w:asciiTheme="minorHAnsi" w:hAnsiTheme="minorHAnsi" w:cstheme="minorHAnsi"/>
          <w:bCs/>
          <w:lang w:val="fr-FR"/>
        </w:rPr>
        <w:t xml:space="preserve"> </w:t>
      </w:r>
      <w:r>
        <w:rPr>
          <w:rFonts w:asciiTheme="minorHAnsi" w:hAnsiTheme="minorHAnsi" w:cstheme="minorHAnsi"/>
          <w:bCs/>
          <w:lang w:val="fr-FR"/>
        </w:rPr>
        <w:t>Mais il reste à documenter tangiblement ces cas sur la base d’une étude sur l</w:t>
      </w:r>
      <w:r w:rsidR="00EB6357">
        <w:rPr>
          <w:rFonts w:asciiTheme="minorHAnsi" w:hAnsiTheme="minorHAnsi" w:cstheme="minorHAnsi"/>
          <w:bCs/>
          <w:lang w:val="fr-FR"/>
        </w:rPr>
        <w:t>’institutionnalisation.</w:t>
      </w:r>
    </w:p>
    <w:p w14:paraId="31FBDEE1" w14:textId="77777777" w:rsidR="006635ED" w:rsidRDefault="00EB6357" w:rsidP="00FB1107">
      <w:pPr>
        <w:pStyle w:val="Corpsdetexte"/>
        <w:spacing w:after="120" w:line="276" w:lineRule="auto"/>
        <w:jc w:val="both"/>
        <w:rPr>
          <w:rFonts w:asciiTheme="minorHAnsi" w:hAnsiTheme="minorHAnsi" w:cstheme="minorHAnsi"/>
          <w:b w:val="0"/>
          <w:sz w:val="22"/>
          <w:szCs w:val="22"/>
        </w:rPr>
      </w:pPr>
      <w:r>
        <w:rPr>
          <w:rFonts w:asciiTheme="minorHAnsi" w:hAnsiTheme="minorHAnsi" w:cstheme="minorHAnsi"/>
          <w:b w:val="0"/>
          <w:sz w:val="22"/>
          <w:szCs w:val="22"/>
        </w:rPr>
        <w:t xml:space="preserve">Dans le secteur de l’éducation, notamment l’enseignement supérieur, </w:t>
      </w:r>
      <w:r w:rsidR="006635ED" w:rsidRPr="000C3A9F">
        <w:rPr>
          <w:rFonts w:asciiTheme="minorHAnsi" w:hAnsiTheme="minorHAnsi" w:cstheme="minorHAnsi"/>
          <w:b w:val="0"/>
          <w:sz w:val="22"/>
          <w:szCs w:val="22"/>
        </w:rPr>
        <w:t>5% des enseignants</w:t>
      </w:r>
      <w:r>
        <w:rPr>
          <w:rFonts w:asciiTheme="minorHAnsi" w:hAnsiTheme="minorHAnsi" w:cstheme="minorHAnsi"/>
          <w:b w:val="0"/>
          <w:sz w:val="22"/>
          <w:szCs w:val="22"/>
        </w:rPr>
        <w:t>-</w:t>
      </w:r>
      <w:r w:rsidR="006635ED" w:rsidRPr="000C3A9F">
        <w:rPr>
          <w:rFonts w:asciiTheme="minorHAnsi" w:hAnsiTheme="minorHAnsi" w:cstheme="minorHAnsi"/>
          <w:b w:val="0"/>
          <w:sz w:val="22"/>
          <w:szCs w:val="22"/>
        </w:rPr>
        <w:t>chercheurs des instituts d’enseignement supérieur formés ont introduit un module intitulé « initiatives paysannes » dans l’enseignement d’apprentissage des sciences de la vie et de la terre</w:t>
      </w:r>
      <w:r>
        <w:rPr>
          <w:rFonts w:asciiTheme="minorHAnsi" w:hAnsiTheme="minorHAnsi" w:cstheme="minorHAnsi"/>
          <w:b w:val="0"/>
          <w:sz w:val="22"/>
          <w:szCs w:val="22"/>
        </w:rPr>
        <w:t xml:space="preserve">. </w:t>
      </w:r>
      <w:r w:rsidRPr="00EB6357">
        <w:rPr>
          <w:rFonts w:asciiTheme="minorHAnsi" w:hAnsiTheme="minorHAnsi" w:cstheme="minorHAnsi"/>
          <w:b w:val="0"/>
          <w:sz w:val="22"/>
          <w:szCs w:val="22"/>
        </w:rPr>
        <w:t>Le module est enseigné au cycle master en semestre 1 en écologie et au cycle licence en semestre 3 en environnement</w:t>
      </w:r>
      <w:r>
        <w:rPr>
          <w:rFonts w:asciiTheme="minorHAnsi" w:hAnsiTheme="minorHAnsi" w:cstheme="minorHAnsi"/>
          <w:b w:val="0"/>
          <w:sz w:val="22"/>
          <w:szCs w:val="22"/>
        </w:rPr>
        <w:t>.</w:t>
      </w:r>
    </w:p>
    <w:p w14:paraId="26A22153" w14:textId="07658408" w:rsidR="00EB6357" w:rsidRPr="00EB6357" w:rsidRDefault="00EB6357" w:rsidP="00FB1107">
      <w:pPr>
        <w:tabs>
          <w:tab w:val="num" w:pos="720"/>
        </w:tabs>
        <w:spacing w:before="120" w:after="120"/>
        <w:jc w:val="both"/>
        <w:rPr>
          <w:rFonts w:asciiTheme="minorHAnsi" w:eastAsia="Times New Roman" w:hAnsiTheme="minorHAnsi" w:cstheme="minorHAnsi"/>
          <w:bCs/>
          <w:lang w:val="fr-FR" w:eastAsia="fr-FR"/>
        </w:rPr>
      </w:pPr>
      <w:r w:rsidRPr="00EB6357">
        <w:rPr>
          <w:rFonts w:asciiTheme="minorHAnsi" w:eastAsia="Times New Roman" w:hAnsiTheme="minorHAnsi" w:cstheme="minorHAnsi"/>
          <w:bCs/>
          <w:lang w:val="fr-FR" w:eastAsia="fr-FR"/>
        </w:rPr>
        <w:t>Il reste tout comme chez les acteurs de la vulgarisation agricole à approfondir et d</w:t>
      </w:r>
      <w:r w:rsidR="00934077">
        <w:rPr>
          <w:rFonts w:asciiTheme="minorHAnsi" w:eastAsia="Times New Roman" w:hAnsiTheme="minorHAnsi" w:cstheme="minorHAnsi"/>
          <w:bCs/>
          <w:lang w:val="fr-FR" w:eastAsia="fr-FR"/>
        </w:rPr>
        <w:t>o</w:t>
      </w:r>
      <w:r w:rsidRPr="00EB6357">
        <w:rPr>
          <w:rFonts w:asciiTheme="minorHAnsi" w:eastAsia="Times New Roman" w:hAnsiTheme="minorHAnsi" w:cstheme="minorHAnsi"/>
          <w:bCs/>
          <w:lang w:val="fr-FR" w:eastAsia="fr-FR"/>
        </w:rPr>
        <w:t>cumenter l’ins</w:t>
      </w:r>
      <w:r w:rsidR="00934077">
        <w:rPr>
          <w:rFonts w:asciiTheme="minorHAnsi" w:eastAsia="Times New Roman" w:hAnsiTheme="minorHAnsi" w:cstheme="minorHAnsi"/>
          <w:bCs/>
          <w:lang w:val="fr-FR" w:eastAsia="fr-FR"/>
        </w:rPr>
        <w:t>t</w:t>
      </w:r>
      <w:r w:rsidRPr="00EB6357">
        <w:rPr>
          <w:rFonts w:asciiTheme="minorHAnsi" w:eastAsia="Times New Roman" w:hAnsiTheme="minorHAnsi" w:cstheme="minorHAnsi"/>
          <w:bCs/>
          <w:lang w:val="fr-FR" w:eastAsia="fr-FR"/>
        </w:rPr>
        <w:t>itutionnalisation de l’approche dans l’éducation et son étendue.</w:t>
      </w:r>
    </w:p>
    <w:p w14:paraId="34E540D9" w14:textId="77777777" w:rsidR="00025C6E" w:rsidRPr="00EB6357" w:rsidRDefault="00025C6E" w:rsidP="00FB1107">
      <w:pPr>
        <w:tabs>
          <w:tab w:val="num" w:pos="720"/>
        </w:tabs>
        <w:spacing w:before="120" w:after="120"/>
        <w:jc w:val="both"/>
        <w:rPr>
          <w:rFonts w:asciiTheme="minorHAnsi" w:hAnsiTheme="minorHAnsi" w:cstheme="minorHAnsi"/>
          <w:b/>
          <w:bCs/>
          <w:i/>
          <w:iCs/>
          <w:lang w:val="fr-FR"/>
        </w:rPr>
      </w:pPr>
      <w:r w:rsidRPr="00EB6357">
        <w:rPr>
          <w:rFonts w:asciiTheme="minorHAnsi" w:hAnsiTheme="minorHAnsi" w:cstheme="minorHAnsi"/>
          <w:b/>
          <w:bCs/>
          <w:i/>
          <w:iCs/>
          <w:lang w:val="fr-FR"/>
        </w:rPr>
        <w:t>Mobilisation des ressources</w:t>
      </w:r>
    </w:p>
    <w:p w14:paraId="3E36E545" w14:textId="3A607D94" w:rsidR="00852AE3" w:rsidRDefault="00EB6357" w:rsidP="00FB1107">
      <w:pPr>
        <w:tabs>
          <w:tab w:val="num" w:pos="720"/>
        </w:tabs>
        <w:spacing w:before="120" w:after="120"/>
        <w:jc w:val="both"/>
        <w:rPr>
          <w:rFonts w:asciiTheme="minorHAnsi" w:hAnsiTheme="minorHAnsi" w:cstheme="minorHAnsi"/>
          <w:lang w:val="fr-FR"/>
        </w:rPr>
      </w:pPr>
      <w:r>
        <w:rPr>
          <w:rFonts w:asciiTheme="minorHAnsi" w:hAnsiTheme="minorHAnsi" w:cstheme="minorHAnsi"/>
          <w:lang w:val="fr-FR"/>
        </w:rPr>
        <w:t xml:space="preserve">A part les projets en cours, il n’y a pas une activité de mobilisation de ressources pour de nouveaux projets effectuées en 2022. </w:t>
      </w:r>
    </w:p>
    <w:p w14:paraId="5B065DEF" w14:textId="77777777" w:rsidR="00EB6357" w:rsidRDefault="00EB6357" w:rsidP="00FB1107">
      <w:pPr>
        <w:tabs>
          <w:tab w:val="num" w:pos="720"/>
        </w:tabs>
        <w:spacing w:before="120" w:after="120"/>
        <w:jc w:val="both"/>
        <w:rPr>
          <w:rFonts w:asciiTheme="minorHAnsi" w:hAnsiTheme="minorHAnsi" w:cstheme="minorHAnsi"/>
          <w:lang w:val="fr-FR"/>
        </w:rPr>
      </w:pPr>
      <w:r>
        <w:rPr>
          <w:rFonts w:asciiTheme="minorHAnsi" w:hAnsiTheme="minorHAnsi" w:cstheme="minorHAnsi"/>
          <w:b/>
          <w:sz w:val="24"/>
          <w:szCs w:val="24"/>
          <w:lang w:val="fr-FR"/>
        </w:rPr>
        <w:t>2.2. Activités et résultats dans le cadre du projet FaReNe</w:t>
      </w:r>
    </w:p>
    <w:p w14:paraId="294ACD52" w14:textId="22BE6A63" w:rsidR="008C05E1" w:rsidRDefault="00EB6357" w:rsidP="00FB1107">
      <w:pPr>
        <w:pStyle w:val="Defaul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Les activités </w:t>
      </w:r>
      <w:r w:rsidR="002D5050">
        <w:rPr>
          <w:rFonts w:asciiTheme="minorHAnsi" w:hAnsiTheme="minorHAnsi" w:cstheme="minorHAnsi"/>
          <w:sz w:val="22"/>
          <w:szCs w:val="22"/>
          <w:lang w:val="fr-FR"/>
        </w:rPr>
        <w:t>planifiées dans le cadre du projet FaReNe au Mali sont pour la plupart en début d’exécution.</w:t>
      </w:r>
    </w:p>
    <w:p w14:paraId="7D35CA62" w14:textId="77777777" w:rsidR="009E6958" w:rsidRPr="002D5050" w:rsidRDefault="002D5050" w:rsidP="00FB1107">
      <w:pPr>
        <w:tabs>
          <w:tab w:val="num" w:pos="720"/>
        </w:tabs>
        <w:spacing w:before="120" w:after="120"/>
        <w:jc w:val="both"/>
        <w:rPr>
          <w:rFonts w:asciiTheme="minorHAnsi" w:hAnsiTheme="minorHAnsi" w:cstheme="minorHAnsi"/>
          <w:b/>
          <w:sz w:val="24"/>
          <w:szCs w:val="24"/>
          <w:lang w:val="fr-FR"/>
        </w:rPr>
      </w:pPr>
      <w:r w:rsidRPr="002D5050">
        <w:rPr>
          <w:rFonts w:asciiTheme="minorHAnsi" w:hAnsiTheme="minorHAnsi" w:cstheme="minorHAnsi"/>
          <w:b/>
          <w:sz w:val="24"/>
          <w:szCs w:val="24"/>
          <w:lang w:val="fr-FR"/>
        </w:rPr>
        <w:t>3.0</w:t>
      </w:r>
      <w:r w:rsidR="009E6958" w:rsidRPr="002D5050">
        <w:rPr>
          <w:rFonts w:asciiTheme="minorHAnsi" w:hAnsiTheme="minorHAnsi" w:cstheme="minorHAnsi"/>
          <w:b/>
          <w:sz w:val="24"/>
          <w:szCs w:val="24"/>
          <w:lang w:val="fr-FR"/>
        </w:rPr>
        <w:t>. Auto-évaluation du fonctionnement du résea</w:t>
      </w:r>
      <w:r>
        <w:rPr>
          <w:rFonts w:asciiTheme="minorHAnsi" w:hAnsiTheme="minorHAnsi" w:cstheme="minorHAnsi"/>
          <w:b/>
          <w:sz w:val="24"/>
          <w:szCs w:val="24"/>
          <w:lang w:val="fr-FR"/>
        </w:rPr>
        <w:t>u</w:t>
      </w:r>
    </w:p>
    <w:p w14:paraId="13A1FE8D" w14:textId="77777777" w:rsidR="002D5050" w:rsidRDefault="009E6958" w:rsidP="00FB1107">
      <w:pPr>
        <w:spacing w:before="120" w:after="0"/>
        <w:jc w:val="both"/>
        <w:rPr>
          <w:rFonts w:asciiTheme="minorHAnsi" w:hAnsiTheme="minorHAnsi" w:cstheme="minorHAnsi"/>
          <w:b/>
          <w:bCs/>
          <w:lang w:val="fr-FR"/>
        </w:rPr>
      </w:pPr>
      <w:r w:rsidRPr="002D5050">
        <w:rPr>
          <w:rFonts w:asciiTheme="minorHAnsi" w:hAnsiTheme="minorHAnsi" w:cstheme="minorHAnsi"/>
          <w:b/>
          <w:bCs/>
          <w:lang w:val="fr-FR"/>
        </w:rPr>
        <w:t>Niveau de réalisation des buts et objectifs de la PP</w:t>
      </w:r>
    </w:p>
    <w:p w14:paraId="48AF1EE5" w14:textId="77777777" w:rsidR="002D5050" w:rsidRDefault="009E6958" w:rsidP="00FB1107">
      <w:pPr>
        <w:spacing w:before="120" w:after="0"/>
        <w:jc w:val="both"/>
        <w:rPr>
          <w:rFonts w:asciiTheme="minorHAnsi" w:hAnsiTheme="minorHAnsi" w:cstheme="minorHAnsi"/>
          <w:lang w:val="fr-FR"/>
        </w:rPr>
      </w:pPr>
      <w:r w:rsidRPr="000C3A9F">
        <w:rPr>
          <w:rFonts w:asciiTheme="minorHAnsi" w:hAnsiTheme="minorHAnsi" w:cstheme="minorHAnsi"/>
          <w:lang w:val="fr-FR"/>
        </w:rPr>
        <w:t xml:space="preserve">Les buts et objectifs de la </w:t>
      </w:r>
      <w:r w:rsidR="002D5050">
        <w:rPr>
          <w:rFonts w:asciiTheme="minorHAnsi" w:hAnsiTheme="minorHAnsi" w:cstheme="minorHAnsi"/>
          <w:lang w:val="fr-FR"/>
        </w:rPr>
        <w:t>Prolinnova-</w:t>
      </w:r>
      <w:r w:rsidRPr="000C3A9F">
        <w:rPr>
          <w:rFonts w:asciiTheme="minorHAnsi" w:hAnsiTheme="minorHAnsi" w:cstheme="minorHAnsi"/>
          <w:lang w:val="fr-FR"/>
        </w:rPr>
        <w:t xml:space="preserve">Mali </w:t>
      </w:r>
      <w:r w:rsidR="002D5050">
        <w:rPr>
          <w:rFonts w:asciiTheme="minorHAnsi" w:hAnsiTheme="minorHAnsi" w:cstheme="minorHAnsi"/>
          <w:lang w:val="fr-FR"/>
        </w:rPr>
        <w:t xml:space="preserve">sont réalisés </w:t>
      </w:r>
      <w:r w:rsidRPr="000C3A9F">
        <w:rPr>
          <w:rFonts w:asciiTheme="minorHAnsi" w:hAnsiTheme="minorHAnsi" w:cstheme="minorHAnsi"/>
          <w:lang w:val="fr-FR"/>
        </w:rPr>
        <w:t xml:space="preserve">dans un cadre partenarial entre les structures membres : Association des Organisations Professionnelles Paysannes (AOPP), Institut d’Economie Rurale </w:t>
      </w:r>
      <w:r w:rsidRPr="000C3A9F">
        <w:rPr>
          <w:rFonts w:asciiTheme="minorHAnsi" w:hAnsiTheme="minorHAnsi" w:cstheme="minorHAnsi"/>
          <w:lang w:val="fr-FR"/>
        </w:rPr>
        <w:lastRenderedPageBreak/>
        <w:t>(IER), Direction Nationale de l’Agriculture (DNA) et Association pour le Développement des Activités de Production et de Formation (ADAF/Gallè).</w:t>
      </w:r>
    </w:p>
    <w:p w14:paraId="01410F76" w14:textId="77777777" w:rsidR="002D5050" w:rsidRDefault="009E6958" w:rsidP="00FB1107">
      <w:pPr>
        <w:pStyle w:val="Paragraphedeliste"/>
        <w:spacing w:before="120"/>
        <w:ind w:left="0"/>
        <w:jc w:val="both"/>
        <w:rPr>
          <w:rFonts w:asciiTheme="minorHAnsi" w:hAnsiTheme="minorHAnsi" w:cstheme="minorHAnsi"/>
          <w:lang w:val="fr-FR"/>
        </w:rPr>
      </w:pPr>
      <w:r w:rsidRPr="002D5050">
        <w:rPr>
          <w:rFonts w:asciiTheme="minorHAnsi" w:hAnsiTheme="minorHAnsi" w:cstheme="minorHAnsi"/>
          <w:b/>
          <w:lang w:val="fr-FR"/>
        </w:rPr>
        <w:t>Gouvernance au niveau de la PP</w:t>
      </w:r>
    </w:p>
    <w:p w14:paraId="37FAD44B" w14:textId="77777777" w:rsidR="002D5050" w:rsidRDefault="009E6958" w:rsidP="00FB1107">
      <w:pPr>
        <w:spacing w:before="120" w:after="0"/>
        <w:jc w:val="both"/>
        <w:rPr>
          <w:rFonts w:asciiTheme="minorHAnsi" w:hAnsiTheme="minorHAnsi" w:cstheme="minorHAnsi"/>
          <w:lang w:val="fr-FR"/>
        </w:rPr>
      </w:pPr>
      <w:r w:rsidRPr="000C3A9F">
        <w:rPr>
          <w:rFonts w:asciiTheme="minorHAnsi" w:hAnsiTheme="minorHAnsi" w:cstheme="minorHAnsi"/>
          <w:lang w:val="fr-FR"/>
        </w:rPr>
        <w:t>La gouvernance marche bien car chaque structure joue pleinement son rôle dans la mise en œuvre des activités des deux projets</w:t>
      </w:r>
      <w:r w:rsidR="00E25333" w:rsidRPr="000C3A9F">
        <w:rPr>
          <w:rFonts w:asciiTheme="minorHAnsi" w:hAnsiTheme="minorHAnsi" w:cstheme="minorHAnsi"/>
          <w:lang w:val="fr-FR"/>
        </w:rPr>
        <w:t xml:space="preserve"> PROFEIS et FaReNe</w:t>
      </w:r>
      <w:r w:rsidRPr="000C3A9F">
        <w:rPr>
          <w:rFonts w:asciiTheme="minorHAnsi" w:hAnsiTheme="minorHAnsi" w:cstheme="minorHAnsi"/>
          <w:lang w:val="fr-FR"/>
        </w:rPr>
        <w:t>.</w:t>
      </w:r>
    </w:p>
    <w:p w14:paraId="2CAF2474" w14:textId="77777777" w:rsidR="009E6958" w:rsidRPr="002D5050" w:rsidRDefault="009E6958" w:rsidP="00FB1107">
      <w:pPr>
        <w:spacing w:before="120" w:after="0"/>
        <w:jc w:val="both"/>
        <w:rPr>
          <w:rFonts w:asciiTheme="minorHAnsi" w:hAnsiTheme="minorHAnsi" w:cstheme="minorHAnsi"/>
          <w:lang w:val="fr-FR"/>
        </w:rPr>
      </w:pPr>
      <w:r w:rsidRPr="002D5050">
        <w:rPr>
          <w:rFonts w:asciiTheme="minorHAnsi" w:hAnsiTheme="minorHAnsi" w:cstheme="minorHAnsi"/>
          <w:b/>
          <w:lang w:val="fr-FR"/>
        </w:rPr>
        <w:t>Fonctionnement du secrétariat de la PP</w:t>
      </w:r>
    </w:p>
    <w:p w14:paraId="561647F6" w14:textId="77777777" w:rsidR="009E6958" w:rsidRPr="000C3A9F" w:rsidRDefault="009E6958" w:rsidP="00FB1107">
      <w:pPr>
        <w:pStyle w:val="Paragraphedeliste"/>
        <w:spacing w:before="120" w:after="120"/>
        <w:ind w:left="0"/>
        <w:jc w:val="both"/>
        <w:rPr>
          <w:rFonts w:asciiTheme="minorHAnsi" w:hAnsiTheme="minorHAnsi" w:cstheme="minorHAnsi"/>
          <w:lang w:val="fr-FR"/>
        </w:rPr>
      </w:pPr>
      <w:r w:rsidRPr="000C3A9F">
        <w:rPr>
          <w:rFonts w:asciiTheme="minorHAnsi" w:hAnsiTheme="minorHAnsi" w:cstheme="minorHAnsi"/>
          <w:lang w:val="fr-FR"/>
        </w:rPr>
        <w:t>Le secrétariat de la gouvernance assurée par ADAF/Gallè compile les résulats des deux projets, élabore le rapport annuel d’activités qui sont soumis aux autres membres de la plateforme</w:t>
      </w:r>
      <w:r w:rsidR="00E25333" w:rsidRPr="000C3A9F">
        <w:rPr>
          <w:rFonts w:asciiTheme="minorHAnsi" w:hAnsiTheme="minorHAnsi" w:cstheme="minorHAnsi"/>
          <w:lang w:val="fr-FR"/>
        </w:rPr>
        <w:t xml:space="preserve"> </w:t>
      </w:r>
      <w:r w:rsidRPr="000C3A9F">
        <w:rPr>
          <w:rFonts w:asciiTheme="minorHAnsi" w:hAnsiTheme="minorHAnsi" w:cstheme="minorHAnsi"/>
          <w:lang w:val="fr-FR"/>
        </w:rPr>
        <w:t xml:space="preserve">pour amélioration avant de l’envoyer à PROLINNOVA. </w:t>
      </w:r>
    </w:p>
    <w:p w14:paraId="2FD38FB2" w14:textId="77777777" w:rsidR="009E6958" w:rsidRPr="002D5050" w:rsidRDefault="009E6958" w:rsidP="00FB1107">
      <w:pPr>
        <w:spacing w:before="120" w:after="120"/>
        <w:jc w:val="both"/>
        <w:rPr>
          <w:rFonts w:asciiTheme="minorHAnsi" w:hAnsiTheme="minorHAnsi" w:cstheme="minorHAnsi"/>
          <w:b/>
          <w:lang w:val="fr-FR"/>
        </w:rPr>
      </w:pPr>
      <w:r w:rsidRPr="002D5050">
        <w:rPr>
          <w:rFonts w:asciiTheme="minorHAnsi" w:hAnsiTheme="minorHAnsi" w:cstheme="minorHAnsi"/>
          <w:b/>
          <w:lang w:val="fr-FR"/>
        </w:rPr>
        <w:t>Communication entre et parmi les partenaires au sein de votre PP</w:t>
      </w:r>
    </w:p>
    <w:p w14:paraId="623C65A5" w14:textId="06FEC68B" w:rsidR="009E6958" w:rsidRPr="000C3A9F" w:rsidRDefault="009E6958" w:rsidP="00FB1107">
      <w:pPr>
        <w:pStyle w:val="Paragraphedeliste"/>
        <w:spacing w:before="120" w:after="120"/>
        <w:ind w:left="0"/>
        <w:jc w:val="both"/>
        <w:rPr>
          <w:rFonts w:asciiTheme="minorHAnsi" w:hAnsiTheme="minorHAnsi" w:cstheme="minorHAnsi"/>
          <w:lang w:val="fr-FR"/>
        </w:rPr>
      </w:pPr>
      <w:r w:rsidRPr="000C3A9F">
        <w:rPr>
          <w:rFonts w:asciiTheme="minorHAnsi" w:hAnsiTheme="minorHAnsi" w:cstheme="minorHAnsi"/>
          <w:lang w:val="fr-FR"/>
        </w:rPr>
        <w:t>La planification et la mise en œuvre des activités des projets sont effectués à travers un partenariat multi acteur</w:t>
      </w:r>
      <w:r w:rsidR="00E25333" w:rsidRPr="000C3A9F">
        <w:rPr>
          <w:rFonts w:asciiTheme="minorHAnsi" w:hAnsiTheme="minorHAnsi" w:cstheme="minorHAnsi"/>
          <w:lang w:val="fr-FR"/>
        </w:rPr>
        <w:t>s</w:t>
      </w:r>
      <w:r w:rsidRPr="000C3A9F">
        <w:rPr>
          <w:rFonts w:asciiTheme="minorHAnsi" w:hAnsiTheme="minorHAnsi" w:cstheme="minorHAnsi"/>
          <w:lang w:val="fr-FR"/>
        </w:rPr>
        <w:t xml:space="preserve"> impliquant toutes les structures membres de la plateforme. Des rencontres mensuelles se font pour disucter des projets PROFEIS et FaReNe.</w:t>
      </w:r>
    </w:p>
    <w:p w14:paraId="42145DCF" w14:textId="77777777" w:rsidR="009E6958" w:rsidRPr="002D5050" w:rsidRDefault="009E6958" w:rsidP="00FB1107">
      <w:pPr>
        <w:spacing w:before="120" w:after="120"/>
        <w:jc w:val="both"/>
        <w:rPr>
          <w:rFonts w:asciiTheme="minorHAnsi" w:hAnsiTheme="minorHAnsi" w:cstheme="minorHAnsi"/>
          <w:b/>
          <w:lang w:val="fr-FR"/>
        </w:rPr>
      </w:pPr>
      <w:r w:rsidRPr="002D5050">
        <w:rPr>
          <w:rFonts w:asciiTheme="minorHAnsi" w:hAnsiTheme="minorHAnsi" w:cstheme="minorHAnsi"/>
          <w:b/>
          <w:lang w:val="fr-FR"/>
        </w:rPr>
        <w:t>Relations avec les autres PPs, le coordonnateur (sous) régional, l’équipe internationale d’appui (</w:t>
      </w:r>
      <w:r w:rsidR="002D5050">
        <w:rPr>
          <w:rFonts w:asciiTheme="minorHAnsi" w:hAnsiTheme="minorHAnsi" w:cstheme="minorHAnsi"/>
          <w:b/>
          <w:lang w:val="fr-FR"/>
        </w:rPr>
        <w:t>EIA</w:t>
      </w:r>
      <w:r w:rsidRPr="002D5050">
        <w:rPr>
          <w:rFonts w:asciiTheme="minorHAnsi" w:hAnsiTheme="minorHAnsi" w:cstheme="minorHAnsi"/>
          <w:b/>
          <w:lang w:val="fr-FR"/>
        </w:rPr>
        <w:t xml:space="preserve">) et le Groupe de Supervision de </w:t>
      </w:r>
      <w:r w:rsidRPr="002D5050">
        <w:rPr>
          <w:rFonts w:asciiTheme="minorHAnsi" w:hAnsiTheme="minorHAnsi" w:cstheme="minorHAnsi"/>
          <w:b/>
          <w:smallCaps/>
          <w:lang w:val="fr-FR"/>
        </w:rPr>
        <w:t>Prolinnova</w:t>
      </w:r>
      <w:r w:rsidRPr="002D5050">
        <w:rPr>
          <w:rFonts w:asciiTheme="minorHAnsi" w:hAnsiTheme="minorHAnsi" w:cstheme="minorHAnsi"/>
          <w:b/>
          <w:lang w:val="fr-FR"/>
        </w:rPr>
        <w:t xml:space="preserve"> (POG)</w:t>
      </w:r>
    </w:p>
    <w:p w14:paraId="225F9323" w14:textId="77777777" w:rsidR="009E6958" w:rsidRDefault="00E25333" w:rsidP="00FB1107">
      <w:pPr>
        <w:pStyle w:val="Paragraphedeliste"/>
        <w:spacing w:before="120" w:after="120"/>
        <w:ind w:left="0"/>
        <w:jc w:val="both"/>
        <w:rPr>
          <w:rFonts w:asciiTheme="minorHAnsi" w:hAnsiTheme="minorHAnsi" w:cstheme="minorHAnsi"/>
          <w:lang w:val="fr-FR"/>
        </w:rPr>
      </w:pPr>
      <w:r w:rsidRPr="000C3A9F">
        <w:rPr>
          <w:rFonts w:asciiTheme="minorHAnsi" w:hAnsiTheme="minorHAnsi" w:cstheme="minorHAnsi"/>
          <w:lang w:val="fr-FR"/>
        </w:rPr>
        <w:t>Excepté les réalisa</w:t>
      </w:r>
      <w:r w:rsidR="009E6958" w:rsidRPr="000C3A9F">
        <w:rPr>
          <w:rFonts w:asciiTheme="minorHAnsi" w:hAnsiTheme="minorHAnsi" w:cstheme="minorHAnsi"/>
          <w:lang w:val="fr-FR"/>
        </w:rPr>
        <w:t>tions de communication et d’in</w:t>
      </w:r>
      <w:r w:rsidRPr="000C3A9F">
        <w:rPr>
          <w:rFonts w:asciiTheme="minorHAnsi" w:hAnsiTheme="minorHAnsi" w:cstheme="minorHAnsi"/>
          <w:lang w:val="fr-FR"/>
        </w:rPr>
        <w:t xml:space="preserve">formation avec le coordonnaeur </w:t>
      </w:r>
      <w:r w:rsidR="009E6958" w:rsidRPr="000C3A9F">
        <w:rPr>
          <w:rFonts w:asciiTheme="minorHAnsi" w:hAnsiTheme="minorHAnsi" w:cstheme="minorHAnsi"/>
          <w:lang w:val="fr-FR"/>
        </w:rPr>
        <w:t>sous régional et l’</w:t>
      </w:r>
      <w:r w:rsidR="002D5050">
        <w:rPr>
          <w:rFonts w:asciiTheme="minorHAnsi" w:hAnsiTheme="minorHAnsi" w:cstheme="minorHAnsi"/>
          <w:lang w:val="fr-FR"/>
        </w:rPr>
        <w:t>EIA</w:t>
      </w:r>
      <w:r w:rsidR="009E6958" w:rsidRPr="000C3A9F">
        <w:rPr>
          <w:rFonts w:asciiTheme="minorHAnsi" w:hAnsiTheme="minorHAnsi" w:cstheme="minorHAnsi"/>
          <w:lang w:val="fr-FR"/>
        </w:rPr>
        <w:t>, les r</w:t>
      </w:r>
      <w:r w:rsidR="002D5050">
        <w:rPr>
          <w:rFonts w:asciiTheme="minorHAnsi" w:hAnsiTheme="minorHAnsi" w:cstheme="minorHAnsi"/>
          <w:lang w:val="fr-FR"/>
        </w:rPr>
        <w:t>e</w:t>
      </w:r>
      <w:r w:rsidR="009E6958" w:rsidRPr="000C3A9F">
        <w:rPr>
          <w:rFonts w:asciiTheme="minorHAnsi" w:hAnsiTheme="minorHAnsi" w:cstheme="minorHAnsi"/>
          <w:lang w:val="fr-FR"/>
        </w:rPr>
        <w:t>lations avec le</w:t>
      </w:r>
      <w:r w:rsidRPr="000C3A9F">
        <w:rPr>
          <w:rFonts w:asciiTheme="minorHAnsi" w:hAnsiTheme="minorHAnsi" w:cstheme="minorHAnsi"/>
          <w:lang w:val="fr-FR"/>
        </w:rPr>
        <w:t xml:space="preserve">s autres plateformes pays </w:t>
      </w:r>
      <w:r w:rsidR="009E6958" w:rsidRPr="000C3A9F">
        <w:rPr>
          <w:rFonts w:asciiTheme="minorHAnsi" w:hAnsiTheme="minorHAnsi" w:cstheme="minorHAnsi"/>
          <w:lang w:val="fr-FR"/>
        </w:rPr>
        <w:t>et le Groupe de Supervision de PROLINNOVA (POG) m</w:t>
      </w:r>
      <w:r w:rsidR="002D5050">
        <w:rPr>
          <w:rFonts w:asciiTheme="minorHAnsi" w:hAnsiTheme="minorHAnsi" w:cstheme="minorHAnsi"/>
          <w:lang w:val="fr-FR"/>
        </w:rPr>
        <w:t>é</w:t>
      </w:r>
      <w:r w:rsidR="009E6958" w:rsidRPr="000C3A9F">
        <w:rPr>
          <w:rFonts w:asciiTheme="minorHAnsi" w:hAnsiTheme="minorHAnsi" w:cstheme="minorHAnsi"/>
          <w:lang w:val="fr-FR"/>
        </w:rPr>
        <w:t>ritent d’être renforc</w:t>
      </w:r>
      <w:r w:rsidR="002D5050">
        <w:rPr>
          <w:rFonts w:asciiTheme="minorHAnsi" w:hAnsiTheme="minorHAnsi" w:cstheme="minorHAnsi"/>
          <w:lang w:val="fr-FR"/>
        </w:rPr>
        <w:t>ées</w:t>
      </w:r>
      <w:r w:rsidR="009E6958" w:rsidRPr="000C3A9F">
        <w:rPr>
          <w:rFonts w:asciiTheme="minorHAnsi" w:hAnsiTheme="minorHAnsi" w:cstheme="minorHAnsi"/>
          <w:lang w:val="fr-FR"/>
        </w:rPr>
        <w:t xml:space="preserve"> en matière d’information et d’échanges.</w:t>
      </w:r>
    </w:p>
    <w:p w14:paraId="479C5D63" w14:textId="77777777" w:rsidR="002D5050" w:rsidRPr="000C3A9F" w:rsidRDefault="002D5050" w:rsidP="00FB1107">
      <w:pPr>
        <w:pStyle w:val="Paragraphedeliste"/>
        <w:spacing w:before="120" w:after="120"/>
        <w:ind w:left="0"/>
        <w:jc w:val="both"/>
        <w:rPr>
          <w:rFonts w:asciiTheme="minorHAnsi" w:hAnsiTheme="minorHAnsi" w:cstheme="minorHAnsi"/>
          <w:lang w:val="fr-FR"/>
        </w:rPr>
      </w:pPr>
    </w:p>
    <w:p w14:paraId="54B7773B" w14:textId="77777777" w:rsidR="009E6958" w:rsidRPr="000C3A9F" w:rsidRDefault="009E6958" w:rsidP="00FB1107">
      <w:pPr>
        <w:spacing w:before="120" w:after="120"/>
        <w:jc w:val="both"/>
        <w:rPr>
          <w:rFonts w:asciiTheme="minorHAnsi" w:hAnsiTheme="minorHAnsi" w:cstheme="minorHAnsi"/>
          <w:i/>
          <w:lang w:val="fr-FR"/>
        </w:rPr>
      </w:pPr>
      <w:r w:rsidRPr="000C3A9F">
        <w:rPr>
          <w:rFonts w:asciiTheme="minorHAnsi" w:hAnsiTheme="minorHAnsi" w:cstheme="minorHAnsi"/>
          <w:b/>
          <w:lang w:val="fr-FR"/>
        </w:rPr>
        <w:t>4.</w:t>
      </w:r>
      <w:r w:rsidR="002D5050">
        <w:rPr>
          <w:rFonts w:asciiTheme="minorHAnsi" w:hAnsiTheme="minorHAnsi" w:cstheme="minorHAnsi"/>
          <w:b/>
          <w:lang w:val="fr-FR"/>
        </w:rPr>
        <w:t xml:space="preserve">0. </w:t>
      </w:r>
      <w:r w:rsidRPr="000C3A9F">
        <w:rPr>
          <w:rFonts w:asciiTheme="minorHAnsi" w:hAnsiTheme="minorHAnsi" w:cstheme="minorHAnsi"/>
          <w:b/>
          <w:lang w:val="fr-FR"/>
        </w:rPr>
        <w:t xml:space="preserve">Conclusion </w:t>
      </w:r>
    </w:p>
    <w:p w14:paraId="1D65EB3A" w14:textId="77777777" w:rsidR="009E6958" w:rsidRPr="000C3A9F" w:rsidRDefault="009E6958" w:rsidP="00FB1107">
      <w:pPr>
        <w:spacing w:before="120" w:after="120"/>
        <w:jc w:val="both"/>
        <w:rPr>
          <w:rFonts w:asciiTheme="minorHAnsi" w:hAnsiTheme="minorHAnsi" w:cstheme="minorHAnsi"/>
          <w:lang w:val="fr-FR"/>
        </w:rPr>
      </w:pPr>
      <w:r w:rsidRPr="000C3A9F">
        <w:rPr>
          <w:rFonts w:asciiTheme="minorHAnsi" w:hAnsiTheme="minorHAnsi" w:cstheme="minorHAnsi"/>
          <w:lang w:val="fr-FR"/>
        </w:rPr>
        <w:t>Des résultats importants ont été enregistrés dans la mise en œuvre des activités en dépit du contexte sécuritaire assez difficile au nord et au centre du pays. La reconnaissance des savoirs locaux par les décideurs et l’élaboration de protocole par les enseignants chercheurs militent en faveur de l’institutionnalisation de l’approche DPI.  Les activités génératrices de revenus appuyées avec le FIL et les organisations cré</w:t>
      </w:r>
      <w:r w:rsidR="002D5050">
        <w:rPr>
          <w:rFonts w:asciiTheme="minorHAnsi" w:hAnsiTheme="minorHAnsi" w:cstheme="minorHAnsi"/>
          <w:lang w:val="fr-FR"/>
        </w:rPr>
        <w:t>é</w:t>
      </w:r>
      <w:r w:rsidRPr="000C3A9F">
        <w:rPr>
          <w:rFonts w:asciiTheme="minorHAnsi" w:hAnsiTheme="minorHAnsi" w:cstheme="minorHAnsi"/>
          <w:lang w:val="fr-FR"/>
        </w:rPr>
        <w:t xml:space="preserve">es pour mener ces activités sont des facteurs d’amélioration de revenu et de stabilité. </w:t>
      </w:r>
    </w:p>
    <w:p w14:paraId="69FDCCE9" w14:textId="77777777" w:rsidR="00B56164" w:rsidRPr="000C3A9F" w:rsidRDefault="00B56164" w:rsidP="00FB1107">
      <w:pPr>
        <w:jc w:val="both"/>
        <w:rPr>
          <w:rFonts w:asciiTheme="minorHAnsi" w:hAnsiTheme="minorHAnsi" w:cstheme="minorHAnsi"/>
          <w:lang w:val="fr-FR"/>
        </w:rPr>
      </w:pPr>
    </w:p>
    <w:sectPr w:rsidR="00B56164" w:rsidRPr="000C3A9F">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26AF" w14:textId="77777777" w:rsidR="001440E2" w:rsidRDefault="001440E2">
      <w:pPr>
        <w:spacing w:after="0" w:line="240" w:lineRule="auto"/>
      </w:pPr>
      <w:r>
        <w:separator/>
      </w:r>
    </w:p>
  </w:endnote>
  <w:endnote w:type="continuationSeparator" w:id="0">
    <w:p w14:paraId="518FF9F9" w14:textId="77777777" w:rsidR="001440E2" w:rsidRDefault="0014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646A" w14:textId="77777777" w:rsidR="00956874" w:rsidRDefault="00E25333">
    <w:pPr>
      <w:pStyle w:val="Pieddepage"/>
      <w:jc w:val="right"/>
    </w:pPr>
    <w:r>
      <w:fldChar w:fldCharType="begin"/>
    </w:r>
    <w:r>
      <w:instrText xml:space="preserve"> PAGE   \* MERGEFORMAT </w:instrText>
    </w:r>
    <w:r>
      <w:fldChar w:fldCharType="separate"/>
    </w:r>
    <w:r>
      <w:t>1</w:t>
    </w:r>
    <w:r>
      <w:fldChar w:fldCharType="end"/>
    </w:r>
  </w:p>
  <w:p w14:paraId="2DB70C14" w14:textId="77777777" w:rsidR="00956874"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5549" w14:textId="77777777" w:rsidR="001440E2" w:rsidRDefault="001440E2">
      <w:pPr>
        <w:spacing w:after="0" w:line="240" w:lineRule="auto"/>
      </w:pPr>
      <w:r>
        <w:separator/>
      </w:r>
    </w:p>
  </w:footnote>
  <w:footnote w:type="continuationSeparator" w:id="0">
    <w:p w14:paraId="11989A06" w14:textId="77777777" w:rsidR="001440E2" w:rsidRDefault="00144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C4E23"/>
    <w:multiLevelType w:val="hybridMultilevel"/>
    <w:tmpl w:val="C7C44A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A455CDD"/>
    <w:multiLevelType w:val="hybridMultilevel"/>
    <w:tmpl w:val="6BE219DE"/>
    <w:lvl w:ilvl="0" w:tplc="56A4459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0E01E18"/>
    <w:multiLevelType w:val="multilevel"/>
    <w:tmpl w:val="719024F2"/>
    <w:lvl w:ilvl="0">
      <w:start w:val="1"/>
      <w:numFmt w:val="decimal"/>
      <w:lvlText w:val="%1.0."/>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3" w15:restartNumberingAfterBreak="0">
    <w:nsid w:val="71DA11FD"/>
    <w:multiLevelType w:val="hybridMultilevel"/>
    <w:tmpl w:val="AAF27204"/>
    <w:lvl w:ilvl="0" w:tplc="00000002">
      <w:start w:val="13"/>
      <w:numFmt w:val="bullet"/>
      <w:lvlText w:val="-"/>
      <w:lvlJc w:val="left"/>
      <w:pPr>
        <w:ind w:left="720" w:hanging="360"/>
      </w:pPr>
      <w:rPr>
        <w:rFonts w:ascii="Trebuchet MS" w:hAnsi="Trebuchet MS" w:cs="Arial Unicode MS" w:hint="default"/>
        <w:caps w:val="0"/>
        <w:smallCaps w:val="0"/>
        <w:strike w:val="0"/>
        <w:dstrike w:val="0"/>
        <w:outline w:val="0"/>
        <w:spacing w:val="0"/>
        <w:w w:val="100"/>
        <w:kern w:val="1"/>
        <w:position w:val="0"/>
        <w:sz w:val="24"/>
        <w:szCs w:val="24"/>
        <w:shd w:val="clear" w:color="auto" w:fill="auto"/>
        <w:vertAlign w:val="baseline"/>
        <w:em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7168420">
    <w:abstractNumId w:val="0"/>
  </w:num>
  <w:num w:numId="2" w16cid:durableId="1740860804">
    <w:abstractNumId w:val="1"/>
  </w:num>
  <w:num w:numId="3" w16cid:durableId="1314796163">
    <w:abstractNumId w:val="2"/>
  </w:num>
  <w:num w:numId="4" w16cid:durableId="2131437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58"/>
    <w:rsid w:val="00025C6E"/>
    <w:rsid w:val="000368AD"/>
    <w:rsid w:val="000C3A9F"/>
    <w:rsid w:val="001440E2"/>
    <w:rsid w:val="002D5050"/>
    <w:rsid w:val="004A796E"/>
    <w:rsid w:val="00562304"/>
    <w:rsid w:val="005F32F9"/>
    <w:rsid w:val="006635ED"/>
    <w:rsid w:val="00672CB8"/>
    <w:rsid w:val="006A305B"/>
    <w:rsid w:val="00752603"/>
    <w:rsid w:val="00852AE3"/>
    <w:rsid w:val="008C05E1"/>
    <w:rsid w:val="00934077"/>
    <w:rsid w:val="009E6958"/>
    <w:rsid w:val="00A30F88"/>
    <w:rsid w:val="00B021D2"/>
    <w:rsid w:val="00B56164"/>
    <w:rsid w:val="00B975C5"/>
    <w:rsid w:val="00BC05ED"/>
    <w:rsid w:val="00E25333"/>
    <w:rsid w:val="00E435B1"/>
    <w:rsid w:val="00EB6357"/>
    <w:rsid w:val="00F960DE"/>
    <w:rsid w:val="00FA436B"/>
    <w:rsid w:val="00FB1107"/>
    <w:rsid w:val="00FE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8254"/>
  <w15:chartTrackingRefBased/>
  <w15:docId w15:val="{28172A0D-BDC6-4678-9B70-114B5816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58"/>
    <w:pPr>
      <w:spacing w:after="200" w:line="276" w:lineRule="auto"/>
    </w:pPr>
    <w:rPr>
      <w:rFonts w:ascii="Calibri" w:eastAsia="Calibri" w:hAnsi="Calibri" w:cs="Times New Roman"/>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E6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6958"/>
    <w:rPr>
      <w:rFonts w:ascii="Calibri" w:eastAsia="Calibri" w:hAnsi="Calibri" w:cs="Times New Roman"/>
      <w:noProof/>
      <w:lang w:val="en-GB"/>
    </w:rPr>
  </w:style>
  <w:style w:type="paragraph" w:styleId="Paragraphedeliste">
    <w:name w:val="List Paragraph"/>
    <w:basedOn w:val="Normal"/>
    <w:uiPriority w:val="34"/>
    <w:qFormat/>
    <w:rsid w:val="009E6958"/>
    <w:pPr>
      <w:ind w:left="720"/>
      <w:contextualSpacing/>
    </w:pPr>
  </w:style>
  <w:style w:type="paragraph" w:styleId="NormalWeb">
    <w:name w:val="Normal (Web)"/>
    <w:basedOn w:val="Normal"/>
    <w:uiPriority w:val="99"/>
    <w:unhideWhenUsed/>
    <w:rsid w:val="009E6958"/>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Corpsdetexte">
    <w:name w:val="Body Text"/>
    <w:basedOn w:val="Normal"/>
    <w:link w:val="CorpsdetexteCar"/>
    <w:rsid w:val="005F32F9"/>
    <w:pPr>
      <w:spacing w:after="0" w:line="240" w:lineRule="auto"/>
    </w:pPr>
    <w:rPr>
      <w:rFonts w:ascii="Times New Roman" w:eastAsia="Times New Roman" w:hAnsi="Times New Roman"/>
      <w:b/>
      <w:bCs/>
      <w:sz w:val="24"/>
      <w:szCs w:val="24"/>
      <w:lang w:val="fr-FR" w:eastAsia="fr-FR"/>
    </w:rPr>
  </w:style>
  <w:style w:type="character" w:customStyle="1" w:styleId="CorpsdetexteCar">
    <w:name w:val="Corps de texte Car"/>
    <w:basedOn w:val="Policepardfaut"/>
    <w:link w:val="Corpsdetexte"/>
    <w:rsid w:val="005F32F9"/>
    <w:rPr>
      <w:rFonts w:ascii="Times New Roman" w:eastAsia="Times New Roman" w:hAnsi="Times New Roman" w:cs="Times New Roman"/>
      <w:b/>
      <w:bCs/>
      <w:sz w:val="24"/>
      <w:szCs w:val="24"/>
      <w:lang w:val="fr-FR" w:eastAsia="fr-FR"/>
    </w:rPr>
  </w:style>
  <w:style w:type="paragraph" w:customStyle="1" w:styleId="Default">
    <w:name w:val="Default"/>
    <w:rsid w:val="004A796E"/>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934077"/>
    <w:rPr>
      <w:sz w:val="16"/>
      <w:szCs w:val="16"/>
    </w:rPr>
  </w:style>
  <w:style w:type="paragraph" w:styleId="Commentaire">
    <w:name w:val="annotation text"/>
    <w:basedOn w:val="Normal"/>
    <w:link w:val="CommentaireCar"/>
    <w:uiPriority w:val="99"/>
    <w:semiHidden/>
    <w:unhideWhenUsed/>
    <w:rsid w:val="00934077"/>
    <w:pPr>
      <w:spacing w:line="240" w:lineRule="auto"/>
    </w:pPr>
    <w:rPr>
      <w:sz w:val="20"/>
      <w:szCs w:val="20"/>
    </w:rPr>
  </w:style>
  <w:style w:type="character" w:customStyle="1" w:styleId="CommentaireCar">
    <w:name w:val="Commentaire Car"/>
    <w:basedOn w:val="Policepardfaut"/>
    <w:link w:val="Commentaire"/>
    <w:uiPriority w:val="99"/>
    <w:semiHidden/>
    <w:rsid w:val="00934077"/>
    <w:rPr>
      <w:rFonts w:ascii="Calibri" w:eastAsia="Calibri" w:hAnsi="Calibri"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934077"/>
    <w:rPr>
      <w:b/>
      <w:bCs/>
    </w:rPr>
  </w:style>
  <w:style w:type="character" w:customStyle="1" w:styleId="ObjetducommentaireCar">
    <w:name w:val="Objet du commentaire Car"/>
    <w:basedOn w:val="CommentaireCar"/>
    <w:link w:val="Objetducommentaire"/>
    <w:uiPriority w:val="99"/>
    <w:semiHidden/>
    <w:rsid w:val="00934077"/>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5547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Kouete Paul JIMMY</cp:lastModifiedBy>
  <cp:revision>5</cp:revision>
  <dcterms:created xsi:type="dcterms:W3CDTF">2023-05-11T17:24:00Z</dcterms:created>
  <dcterms:modified xsi:type="dcterms:W3CDTF">2023-05-24T19:02:00Z</dcterms:modified>
</cp:coreProperties>
</file>